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1B654A" w:rsidRDefault="00E1204F" w:rsidP="00061209">
      <w:pPr>
        <w:pStyle w:val="AMFTitre"/>
        <w:ind w:left="0"/>
        <w:rPr>
          <w:sz w:val="24"/>
          <w:szCs w:val="24"/>
        </w:rPr>
      </w:pPr>
      <w:r w:rsidRPr="001B654A">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1B654A" w:rsidRPr="001B654A">
        <w:rPr>
          <w:sz w:val="24"/>
          <w:szCs w:val="24"/>
        </w:rPr>
        <w:t>Plan-type du document d’information clé pour l’investisseur</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1B654A" w:rsidRDefault="001B654A" w:rsidP="001B654A">
      <w:pPr>
        <w:pStyle w:val="AMFDate"/>
        <w:ind w:left="0"/>
        <w:jc w:val="both"/>
        <w:rPr>
          <w:rFonts w:asciiTheme="minorHAnsi" w:hAnsiTheme="minorHAnsi" w:cstheme="minorHAnsi"/>
          <w:szCs w:val="20"/>
        </w:rPr>
      </w:pPr>
      <w:r w:rsidRPr="001B654A">
        <w:rPr>
          <w:rFonts w:asciiTheme="minorHAnsi" w:hAnsiTheme="minorHAnsi" w:cstheme="minorHAnsi"/>
          <w:iCs/>
          <w:szCs w:val="20"/>
        </w:rPr>
        <w:t xml:space="preserve">Ce document constitue l’annexe XI de l’instruction AMF </w:t>
      </w:r>
      <w:r w:rsidRPr="001B654A">
        <w:rPr>
          <w:rFonts w:asciiTheme="minorHAnsi" w:hAnsiTheme="minorHAnsi" w:cstheme="minorHAnsi"/>
          <w:szCs w:val="20"/>
        </w:rPr>
        <w:t>- Procédures d’agrément, établissement d’un DICI et d’un prospectus et information périodique des fonds d’épargne salariale – DOC-2011-21</w:t>
      </w:r>
    </w:p>
    <w:p w:rsidR="007B7906" w:rsidRDefault="007B7906" w:rsidP="007B7906">
      <w:pPr>
        <w:rPr>
          <w:rFonts w:cs="Arial"/>
          <w:szCs w:val="18"/>
        </w:rPr>
      </w:pPr>
    </w:p>
    <w:p w:rsidR="007B7906" w:rsidRPr="00EF6E42" w:rsidRDefault="007B7906" w:rsidP="007B7906">
      <w:pPr>
        <w:rPr>
          <w:lang w:eastAsia="en-US"/>
        </w:rPr>
      </w:pP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color w:val="auto"/>
          <w:sz w:val="18"/>
          <w:szCs w:val="18"/>
        </w:rPr>
      </w:pPr>
      <w:r w:rsidRPr="007B7906">
        <w:rPr>
          <w:rFonts w:asciiTheme="minorHAnsi" w:hAnsiTheme="minorHAnsi" w:cstheme="minorHAnsi"/>
          <w:b/>
          <w:sz w:val="18"/>
          <w:szCs w:val="18"/>
        </w:rPr>
        <w:t xml:space="preserve">Informations clés pour l’investisseur </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iCs/>
          <w:color w:val="auto"/>
          <w:sz w:val="18"/>
          <w:szCs w:val="18"/>
        </w:rPr>
        <w:t xml:space="preserve">« Ce document fournit des informations essentielles aux investisseurs de ce </w:t>
      </w:r>
      <w:r w:rsidRPr="007B7906">
        <w:rPr>
          <w:rFonts w:asciiTheme="minorHAnsi" w:hAnsiTheme="minorHAnsi" w:cstheme="minorHAnsi"/>
          <w:color w:val="auto"/>
          <w:sz w:val="18"/>
          <w:szCs w:val="18"/>
        </w:rPr>
        <w:t>fonds d’épargne salariale</w:t>
      </w:r>
      <w:r w:rsidRPr="007B7906">
        <w:rPr>
          <w:rFonts w:asciiTheme="minorHAnsi" w:hAnsiTheme="minorHAnsi" w:cstheme="minorHAnsi"/>
          <w:iCs/>
          <w:color w:val="auto"/>
          <w:sz w:val="18"/>
          <w:szCs w:val="18"/>
        </w:rPr>
        <w:t>. Il ne s’agit pas d’un document promotionnel. Les informations qu’il contient vous sont fournies conformément à une obligation légale, afin de vous aider à comprendre en quoi consiste un investissement dans ce fonds et quels risques y sont associés. Il vous est conseillé de le lire pour décider en connaissance de cause d’investir ou non</w:t>
      </w:r>
      <w:r>
        <w:rPr>
          <w:rFonts w:asciiTheme="minorHAnsi" w:hAnsiTheme="minorHAnsi" w:cstheme="minorHAnsi"/>
          <w:iCs/>
          <w:color w:val="auto"/>
          <w:sz w:val="18"/>
          <w:szCs w:val="18"/>
        </w:rPr>
        <w:t xml:space="preserve"> </w:t>
      </w:r>
      <w:r w:rsidRPr="007B7906">
        <w:rPr>
          <w:rFonts w:asciiTheme="minorHAnsi" w:hAnsiTheme="minorHAnsi" w:cstheme="minorHAnsi"/>
          <w:iCs/>
          <w:color w:val="auto"/>
          <w:sz w:val="18"/>
          <w:szCs w:val="18"/>
        </w:rPr>
        <w:t>»</w:t>
      </w:r>
      <w:r w:rsidRPr="007B7906">
        <w:rPr>
          <w:rFonts w:asciiTheme="minorHAnsi" w:hAnsiTheme="minorHAnsi" w:cstheme="minorHAnsi"/>
          <w:color w:val="auto"/>
          <w:sz w:val="18"/>
          <w:szCs w:val="18"/>
        </w:rPr>
        <w:t xml:space="preserve">. </w:t>
      </w:r>
    </w:p>
    <w:p w:rsid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Arial" w:hAnsi="Arial" w:cs="Arial"/>
          <w:color w:val="auto"/>
          <w:sz w:val="16"/>
          <w:szCs w:val="16"/>
        </w:rPr>
      </w:pPr>
    </w:p>
    <w:p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Arial" w:hAnsi="Arial" w:cs="Arial"/>
          <w:color w:val="auto"/>
          <w:sz w:val="16"/>
          <w:szCs w:val="16"/>
        </w:rPr>
      </w:pP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7B7906">
        <w:rPr>
          <w:rFonts w:asciiTheme="minorHAnsi" w:hAnsiTheme="minorHAnsi" w:cstheme="minorHAnsi"/>
          <w:b/>
          <w:color w:val="auto"/>
          <w:sz w:val="18"/>
          <w:szCs w:val="18"/>
        </w:rPr>
        <w:t xml:space="preserve">Dénomination du fonds d’épargne salariale </w:t>
      </w:r>
      <w:r w:rsidRPr="007B7906">
        <w:rPr>
          <w:rFonts w:asciiTheme="minorHAnsi" w:hAnsiTheme="minorHAnsi" w:cstheme="minorHAnsi"/>
          <w:color w:val="auto"/>
          <w:sz w:val="18"/>
          <w:szCs w:val="18"/>
        </w:rPr>
        <w:t>(</w:t>
      </w:r>
      <w:r w:rsidRPr="007B7906">
        <w:rPr>
          <w:rFonts w:asciiTheme="minorHAnsi" w:hAnsiTheme="minorHAnsi" w:cstheme="minorHAnsi"/>
          <w:b/>
          <w:color w:val="auto"/>
          <w:sz w:val="18"/>
          <w:szCs w:val="18"/>
        </w:rPr>
        <w:t>Code ISIN/AMF)</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7B7906">
        <w:rPr>
          <w:rFonts w:asciiTheme="minorHAnsi" w:hAnsiTheme="minorHAnsi" w:cstheme="minorHAnsi"/>
          <w:b/>
          <w:color w:val="auto"/>
          <w:sz w:val="18"/>
          <w:szCs w:val="18"/>
        </w:rPr>
        <w:t>(</w:t>
      </w:r>
      <w:proofErr w:type="gramStart"/>
      <w:r w:rsidRPr="007B7906">
        <w:rPr>
          <w:rFonts w:asciiTheme="minorHAnsi" w:hAnsiTheme="minorHAnsi" w:cstheme="minorHAnsi"/>
          <w:color w:val="auto"/>
          <w:sz w:val="18"/>
          <w:szCs w:val="18"/>
        </w:rPr>
        <w:t>et</w:t>
      </w:r>
      <w:proofErr w:type="gramEnd"/>
      <w:r w:rsidRPr="007B7906">
        <w:rPr>
          <w:rFonts w:asciiTheme="minorHAnsi" w:hAnsiTheme="minorHAnsi" w:cstheme="minorHAnsi"/>
          <w:b/>
          <w:color w:val="auto"/>
          <w:sz w:val="18"/>
          <w:szCs w:val="18"/>
        </w:rPr>
        <w:t xml:space="preserve"> </w:t>
      </w:r>
      <w:r w:rsidRPr="007B7906">
        <w:rPr>
          <w:rFonts w:asciiTheme="minorHAnsi" w:hAnsiTheme="minorHAnsi" w:cstheme="minorHAnsi"/>
          <w:color w:val="auto"/>
          <w:sz w:val="18"/>
          <w:szCs w:val="18"/>
        </w:rPr>
        <w:t>le cas échéant dénomination du fonds d’épargne salariale de tête et/ou de la catégorie de part ou d’action (</w:t>
      </w:r>
      <w:r w:rsidRPr="007B7906">
        <w:rPr>
          <w:rFonts w:asciiTheme="minorHAnsi" w:hAnsiTheme="minorHAnsi" w:cstheme="minorHAnsi"/>
          <w:b/>
          <w:color w:val="auto"/>
          <w:sz w:val="18"/>
          <w:szCs w:val="18"/>
        </w:rPr>
        <w:t>Code ISIN)</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color w:val="auto"/>
          <w:sz w:val="18"/>
          <w:szCs w:val="18"/>
        </w:rPr>
      </w:pPr>
      <w:r w:rsidRPr="007B7906">
        <w:rPr>
          <w:rFonts w:asciiTheme="minorHAnsi" w:hAnsiTheme="minorHAnsi" w:cstheme="minorHAnsi"/>
          <w:b/>
          <w:color w:val="auto"/>
          <w:sz w:val="18"/>
          <w:szCs w:val="18"/>
        </w:rPr>
        <w:t>Fonds commun de placement d’entreprise (FCPE)/Société à capital variable d’actionnariat salarié (SICAVAS) Fonds d’épargne salariale soumis(e) au droit français</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7B7906">
        <w:rPr>
          <w:rFonts w:asciiTheme="minorHAnsi" w:hAnsiTheme="minorHAnsi" w:cstheme="minorHAnsi"/>
          <w:b/>
          <w:color w:val="auto"/>
          <w:sz w:val="18"/>
          <w:szCs w:val="18"/>
        </w:rPr>
        <w:t xml:space="preserve">Dénomination de la société de gestion </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7B7906">
        <w:rPr>
          <w:rFonts w:asciiTheme="minorHAnsi" w:hAnsiTheme="minorHAnsi" w:cstheme="minorHAnsi"/>
          <w:b/>
          <w:color w:val="auto"/>
          <w:sz w:val="18"/>
          <w:szCs w:val="18"/>
        </w:rPr>
        <w:t>(</w:t>
      </w:r>
      <w:proofErr w:type="gramStart"/>
      <w:r w:rsidRPr="007B7906">
        <w:rPr>
          <w:rFonts w:asciiTheme="minorHAnsi" w:hAnsiTheme="minorHAnsi" w:cstheme="minorHAnsi"/>
          <w:color w:val="auto"/>
          <w:sz w:val="18"/>
          <w:szCs w:val="18"/>
        </w:rPr>
        <w:t>et</w:t>
      </w:r>
      <w:proofErr w:type="gramEnd"/>
      <w:r w:rsidRPr="007B7906">
        <w:rPr>
          <w:rFonts w:asciiTheme="minorHAnsi" w:hAnsiTheme="minorHAnsi" w:cstheme="minorHAnsi"/>
          <w:color w:val="auto"/>
          <w:sz w:val="18"/>
          <w:szCs w:val="18"/>
        </w:rPr>
        <w:t xml:space="preserve"> le cas échéant du groupe auquel elle appartient</w:t>
      </w:r>
      <w:r w:rsidRPr="007B7906">
        <w:rPr>
          <w:rFonts w:asciiTheme="minorHAnsi" w:hAnsiTheme="minorHAnsi" w:cstheme="minorHAnsi"/>
          <w:b/>
          <w:color w:val="auto"/>
          <w:sz w:val="18"/>
          <w:szCs w:val="18"/>
        </w:rPr>
        <w:t>)</w:t>
      </w:r>
    </w:p>
    <w:p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Arial" w:hAnsi="Arial" w:cs="Arial"/>
          <w:color w:val="auto"/>
          <w:sz w:val="16"/>
          <w:szCs w:val="16"/>
        </w:rPr>
      </w:pP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b/>
          <w:bCs/>
          <w:iCs/>
          <w:color w:val="auto"/>
          <w:sz w:val="18"/>
          <w:szCs w:val="18"/>
        </w:rPr>
        <w:t>Objectifs et politique d’investissement :</w:t>
      </w:r>
      <w:r w:rsidRPr="007B7906">
        <w:rPr>
          <w:rFonts w:asciiTheme="minorHAnsi" w:hAnsiTheme="minorHAnsi" w:cstheme="minorHAnsi"/>
          <w:color w:val="auto"/>
          <w:sz w:val="18"/>
          <w:szCs w:val="18"/>
        </w:rPr>
        <w:t xml:space="preserve"> </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u w:val="single"/>
        </w:rPr>
      </w:pPr>
      <w:r w:rsidRPr="007B7906">
        <w:rPr>
          <w:rFonts w:asciiTheme="minorHAnsi" w:hAnsiTheme="minorHAnsi" w:cstheme="minorHAnsi"/>
          <w:color w:val="auto"/>
          <w:sz w:val="18"/>
          <w:szCs w:val="18"/>
          <w:u w:val="single"/>
        </w:rPr>
        <w:t xml:space="preserve">- Description des objectifs et de la politique d’investissement du fonds d’épargne salariale en langage intelligible, clair et simple </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u w:val="single"/>
        </w:rPr>
      </w:pP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u w:val="single"/>
        </w:rPr>
      </w:pPr>
      <w:r w:rsidRPr="007B7906">
        <w:rPr>
          <w:rFonts w:asciiTheme="minorHAnsi" w:hAnsiTheme="minorHAnsi" w:cstheme="minorHAnsi"/>
          <w:color w:val="auto"/>
          <w:sz w:val="18"/>
          <w:szCs w:val="18"/>
          <w:u w:val="single"/>
        </w:rPr>
        <w:t xml:space="preserve"> - Caractéristiques essentielles du fonds d’épargne salariale qu’un investisseur devrait savoir :</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décrire les principales catégories d’instruments financiers dans lesquelles le fonds d’épargne salariale peut investir ;</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donner des informations sur la faculté offerte aux investisseurs d’obtenir le rachat sur demande et la fréquence de ces rachats ;</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indiquer si le fonds d’épargne salariale poursuit un objectif particulier par rapport à un secteur (industriel, géographique, ou autre) ou par rapport à certaines catégories d’actifs ;</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préciser si des stratégies discrétionnaires sont mises en place sur certains types d’actifs, et préciser si le fonds d’épargne salariale a un indicateur de référence ;</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indiquer si le fonds d’épargne salariale distribue ou réinvestit ses revenus.</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u w:val="single"/>
        </w:rPr>
        <w:t>- Autres informations (si pertinent)</w:t>
      </w:r>
      <w:r w:rsidRPr="007B7906">
        <w:rPr>
          <w:rFonts w:asciiTheme="minorHAnsi" w:hAnsiTheme="minorHAnsi" w:cstheme="minorHAnsi"/>
          <w:color w:val="auto"/>
          <w:sz w:val="18"/>
          <w:szCs w:val="18"/>
        </w:rPr>
        <w:t> :</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xml:space="preserve">* si le fonds d’épargne salariale investit dans des titres de créance, préciser la nature de l’émetteur (une société, un État ou une autre entité) et le niveau de risque de crédit sur l’émetteur envisagé; </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xml:space="preserve"> * expliquer en termes simples tous les éléments nécessaires à une bonne compréhension de la rémunération (</w:t>
      </w:r>
      <w:proofErr w:type="spellStart"/>
      <w:r w:rsidRPr="007B7906">
        <w:rPr>
          <w:rFonts w:asciiTheme="minorHAnsi" w:hAnsiTheme="minorHAnsi" w:cstheme="minorHAnsi"/>
          <w:i/>
          <w:iCs/>
          <w:color w:val="auto"/>
          <w:sz w:val="18"/>
          <w:szCs w:val="18"/>
        </w:rPr>
        <w:t>pay-off</w:t>
      </w:r>
      <w:proofErr w:type="spellEnd"/>
      <w:r w:rsidRPr="007B7906">
        <w:rPr>
          <w:rFonts w:asciiTheme="minorHAnsi" w:hAnsiTheme="minorHAnsi" w:cstheme="minorHAnsi"/>
          <w:color w:val="auto"/>
          <w:sz w:val="18"/>
          <w:szCs w:val="18"/>
        </w:rPr>
        <w:t xml:space="preserve">) et des facteurs dont il est prévu qu’ils détermineront les performances. Si nécessaire, un renvoi est fait aux informations détaillées figurant dans la note détaillée sur l’algorithme utilisé et son fonctionnement ; </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indiquer si la stratégie est guidée par des perspectives de croissance, de plus-values ou de distribution de dividendes ;</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préciser la durée de placement recommandée ;</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décrire le cas échéant, les techniques de couverture, d’arbitrage ou de leviers ;</w:t>
      </w:r>
    </w:p>
    <w:p w:rsid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xml:space="preserve">* préciser si la stratégie mise en œuvre entraîne la rotation du portefeuille de manière régulière et dans ce cas avertir l’investisseur que des coûts supplémentaires lui seront prélevés en plus de ceux visés ci-après. </w:t>
      </w: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i/>
          <w:sz w:val="18"/>
          <w:szCs w:val="18"/>
        </w:rPr>
      </w:pPr>
      <w:r w:rsidRPr="007B7906">
        <w:rPr>
          <w:rFonts w:asciiTheme="minorHAnsi" w:hAnsiTheme="minorHAnsi" w:cstheme="minorHAnsi"/>
          <w:b/>
          <w:i/>
          <w:sz w:val="18"/>
          <w:szCs w:val="18"/>
        </w:rPr>
        <w:t>« Recommandation : ce fonds pourrait ne pas convenir aux investisseurs qui prévoient de retirer leur apport dans [indiquer la période]</w:t>
      </w:r>
    </w:p>
    <w:p w:rsid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Arial" w:hAnsi="Arial" w:cs="Arial"/>
          <w:b/>
          <w:color w:val="auto"/>
          <w:sz w:val="16"/>
          <w:szCs w:val="16"/>
        </w:rPr>
      </w:pPr>
    </w:p>
    <w:p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Arial" w:hAnsi="Arial" w:cs="Arial"/>
          <w:b/>
          <w:color w:val="auto"/>
          <w:sz w:val="16"/>
          <w:szCs w:val="16"/>
        </w:rPr>
      </w:pPr>
    </w:p>
    <w:p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bCs/>
          <w:iCs/>
          <w:color w:val="auto"/>
          <w:sz w:val="18"/>
          <w:szCs w:val="18"/>
        </w:rPr>
      </w:pPr>
      <w:r w:rsidRPr="007B7906">
        <w:rPr>
          <w:rFonts w:asciiTheme="minorHAnsi" w:hAnsiTheme="minorHAnsi" w:cstheme="minorHAnsi"/>
          <w:b/>
          <w:bCs/>
          <w:iCs/>
          <w:color w:val="auto"/>
          <w:sz w:val="18"/>
          <w:szCs w:val="18"/>
        </w:rPr>
        <w:lastRenderedPageBreak/>
        <w:t>Profil de risque et de rendement :</w:t>
      </w:r>
    </w:p>
    <w:p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Arial" w:hAnsi="Arial" w:cs="Arial"/>
          <w:b/>
          <w:color w:val="auto"/>
          <w:sz w:val="16"/>
          <w:szCs w:val="16"/>
        </w:rPr>
      </w:pPr>
      <w:r>
        <w:rPr>
          <w:rFonts w:ascii="Arial" w:hAnsi="Arial" w:cs="Arial"/>
          <w:noProof/>
          <w:color w:val="auto"/>
          <w:sz w:val="16"/>
          <w:szCs w:val="16"/>
        </w:rPr>
        <w:drawing>
          <wp:inline distT="0" distB="0" distL="0" distR="0" wp14:anchorId="57EE65AC" wp14:editId="6FBF60C2">
            <wp:extent cx="2867025" cy="533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533400"/>
                    </a:xfrm>
                    <a:prstGeom prst="rect">
                      <a:avLst/>
                    </a:prstGeom>
                    <a:noFill/>
                    <a:ln>
                      <a:noFill/>
                    </a:ln>
                  </pic:spPr>
                </pic:pic>
              </a:graphicData>
            </a:graphic>
          </wp:inline>
        </w:drawing>
      </w:r>
    </w:p>
    <w:p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Arial" w:hAnsi="Arial" w:cs="Arial"/>
          <w:color w:val="auto"/>
          <w:sz w:val="16"/>
          <w:szCs w:val="16"/>
        </w:rPr>
      </w:pP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Cette échelle numérique s’accompagne d’un texte :</w:t>
      </w:r>
    </w:p>
    <w:p w:rsidR="007B7906" w:rsidRPr="00CB3205" w:rsidRDefault="009F0174" w:rsidP="007B7906">
      <w:pPr>
        <w:pStyle w:val="Default"/>
        <w:numPr>
          <w:ilvl w:val="0"/>
          <w:numId w:val="39"/>
        </w:numPr>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Pr>
          <w:rFonts w:asciiTheme="minorHAnsi" w:hAnsiTheme="minorHAnsi" w:cstheme="minorHAnsi"/>
          <w:color w:val="auto"/>
          <w:sz w:val="18"/>
          <w:szCs w:val="18"/>
        </w:rPr>
        <w:t>E</w:t>
      </w:r>
      <w:r w:rsidR="007B7906" w:rsidRPr="00CB3205">
        <w:rPr>
          <w:rFonts w:asciiTheme="minorHAnsi" w:hAnsiTheme="minorHAnsi" w:cstheme="minorHAnsi"/>
          <w:color w:val="auto"/>
          <w:sz w:val="18"/>
          <w:szCs w:val="18"/>
        </w:rPr>
        <w:t>xpliquant l’indicateur et ses principales limites :</w:t>
      </w: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les données historiques, telles que celles utilisées pour calculer l’indicateur synthétique, pourraient ne pas constituer une indication fiable du profil de risque futur du fonds d’épargne salariale ;</w:t>
      </w: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la catégorie de risque associée à ce fonds n’est pas garantie et pourra évoluer dans le temps ;</w:t>
      </w: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la catégorie la plus faible ne signifie pas « sans risque » ;</w:t>
      </w: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expliquer pourquoi le fonds d’épargne salariale est dans une catégorie spécifique ;</w:t>
      </w: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préciser les détails sur la nature, la durée et l’étendue des potentielles garanties ou protection du capital.</w:t>
      </w:r>
    </w:p>
    <w:p w:rsidR="007B7906" w:rsidRPr="00CB3205" w:rsidRDefault="009F0174" w:rsidP="007B7906">
      <w:pPr>
        <w:pStyle w:val="Default"/>
        <w:numPr>
          <w:ilvl w:val="0"/>
          <w:numId w:val="39"/>
        </w:numPr>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Pr>
          <w:rFonts w:asciiTheme="minorHAnsi" w:hAnsiTheme="minorHAnsi" w:cstheme="minorHAnsi"/>
          <w:color w:val="auto"/>
          <w:sz w:val="18"/>
          <w:szCs w:val="18"/>
        </w:rPr>
        <w:t>D</w:t>
      </w:r>
      <w:r w:rsidR="007B7906" w:rsidRPr="00CB3205">
        <w:rPr>
          <w:rFonts w:asciiTheme="minorHAnsi" w:hAnsiTheme="minorHAnsi" w:cstheme="minorHAnsi"/>
          <w:color w:val="auto"/>
          <w:sz w:val="18"/>
          <w:szCs w:val="18"/>
        </w:rPr>
        <w:t>étaillant les risques importants pour le fonds d’épargne salariale non pris en compte dans cet indicateur.</w:t>
      </w: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risque de crédit, quand une part non négligeable de l’investissement est réalisée sur des titres de créances ;</w:t>
      </w: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risque de liquidité, quand une part non négligeable de l’investissement est réalisée dans des instruments financiers pouvant présenter une faible liquidité selon certaines circonstances ;</w:t>
      </w: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risque de contrepartie ;</w:t>
      </w: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xml:space="preserve">- risque opérationnel ; </w:t>
      </w: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l’imp</w:t>
      </w:r>
      <w:bookmarkStart w:id="0" w:name="_GoBack"/>
      <w:bookmarkEnd w:id="0"/>
      <w:r w:rsidRPr="00CB3205">
        <w:rPr>
          <w:rFonts w:asciiTheme="minorHAnsi" w:hAnsiTheme="minorHAnsi" w:cstheme="minorHAnsi"/>
          <w:color w:val="auto"/>
          <w:sz w:val="18"/>
          <w:szCs w:val="18"/>
        </w:rPr>
        <w:t>act des techniques telles que des produits dérivés.</w:t>
      </w:r>
    </w:p>
    <w:p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Arial" w:hAnsi="Arial" w:cs="Arial"/>
          <w:color w:val="auto"/>
          <w:sz w:val="16"/>
          <w:szCs w:val="16"/>
        </w:rPr>
      </w:pP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xml:space="preserve">Cette rubrique contient l’explication des risques importants qui s’appliquent à chacune des autres catégories de parts ou d’actions représentées si le document d’information regroupe plusieurs catégories de parts ou d’actions. </w:t>
      </w: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CB3205">
        <w:rPr>
          <w:rFonts w:asciiTheme="minorHAnsi" w:hAnsiTheme="minorHAnsi" w:cstheme="minorHAnsi"/>
          <w:iCs/>
          <w:color w:val="auto"/>
          <w:sz w:val="18"/>
          <w:szCs w:val="18"/>
        </w:rPr>
        <w:t>En complément, les informations sur le secteur d’activité (mise en avant ce qui peut induire un risque comme la répartition du capital, la concentration du chiffre d’affaire sur un petit nombre de clients, risques environnementaux, etc..), sur l’évolution récente de la situation financière de l’entreprise et ses perspectives doivent être signalées.</w:t>
      </w: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CB3205">
        <w:rPr>
          <w:rFonts w:asciiTheme="minorHAnsi" w:hAnsiTheme="minorHAnsi" w:cstheme="minorHAnsi"/>
          <w:iCs/>
          <w:color w:val="auto"/>
          <w:sz w:val="18"/>
          <w:szCs w:val="18"/>
        </w:rPr>
        <w:t>Proposer également un renvoi au prospectus d’émission de l’émetteur le cas échéant.</w:t>
      </w:r>
    </w:p>
    <w:p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Arial" w:hAnsi="Arial" w:cs="Arial"/>
          <w:b/>
          <w:color w:val="auto"/>
          <w:sz w:val="16"/>
          <w:szCs w:val="16"/>
        </w:rPr>
      </w:pP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b/>
          <w:bCs/>
          <w:iCs/>
          <w:color w:val="auto"/>
          <w:sz w:val="18"/>
          <w:szCs w:val="18"/>
        </w:rPr>
        <w:t xml:space="preserve">Frais : </w:t>
      </w:r>
    </w:p>
    <w:p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Les frais et commissions acquittés servent à couvrir les coûts d’exploitation du fonds d’épargne salariale y compris les coûts de distribution des parts, ces frais réduisent la croissance potentielle des investissements. </w:t>
      </w:r>
    </w:p>
    <w:p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Arial" w:hAnsi="Arial" w:cs="Arial"/>
          <w:color w:val="auto"/>
          <w:sz w:val="16"/>
          <w:szCs w:val="16"/>
        </w:rPr>
      </w:pPr>
    </w:p>
    <w:tbl>
      <w:tblPr>
        <w:tblW w:w="5000" w:type="pct"/>
        <w:tblLook w:val="01E0" w:firstRow="1" w:lastRow="1" w:firstColumn="1" w:lastColumn="1" w:noHBand="0" w:noVBand="0"/>
      </w:tblPr>
      <w:tblGrid>
        <w:gridCol w:w="4629"/>
        <w:gridCol w:w="4600"/>
      </w:tblGrid>
      <w:tr w:rsidR="007B7906" w:rsidRPr="00092DE7" w:rsidTr="008B4705">
        <w:tc>
          <w:tcPr>
            <w:tcW w:w="5000" w:type="pct"/>
            <w:gridSpan w:val="2"/>
            <w:tcBorders>
              <w:right w:val="nil"/>
            </w:tcBorders>
            <w:shd w:val="clear" w:color="auto" w:fill="auto"/>
          </w:tcPr>
          <w:p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ponctuels prélevés avant ou après investissement</w:t>
            </w:r>
          </w:p>
        </w:tc>
      </w:tr>
      <w:tr w:rsidR="007B7906" w:rsidRPr="00092DE7" w:rsidTr="008B4705">
        <w:trPr>
          <w:trHeight w:val="413"/>
        </w:trPr>
        <w:tc>
          <w:tcPr>
            <w:tcW w:w="2508" w:type="pct"/>
            <w:shd w:val="clear" w:color="auto" w:fill="auto"/>
          </w:tcPr>
          <w:p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d’entrée</w:t>
            </w:r>
          </w:p>
          <w:p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de sortie</w:t>
            </w:r>
          </w:p>
        </w:tc>
        <w:tc>
          <w:tcPr>
            <w:tcW w:w="2492" w:type="pct"/>
            <w:tcBorders>
              <w:top w:val="nil"/>
            </w:tcBorders>
            <w:shd w:val="clear" w:color="auto" w:fill="auto"/>
          </w:tcPr>
          <w:p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w:t>
            </w:r>
          </w:p>
          <w:p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w:t>
            </w:r>
          </w:p>
        </w:tc>
      </w:tr>
      <w:tr w:rsidR="007B7906" w:rsidRPr="00092DE7" w:rsidTr="008B4705">
        <w:tc>
          <w:tcPr>
            <w:tcW w:w="5000" w:type="pct"/>
            <w:gridSpan w:val="2"/>
            <w:shd w:val="clear" w:color="auto" w:fill="auto"/>
          </w:tcPr>
          <w:p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Le pourcentage indiqué est le maximum pouvant être prélevé sur votre capital [avant que celui-ci ne soit investi] [avant que le revenu de votre investissement ne vous soit distribué].</w:t>
            </w:r>
          </w:p>
          <w:p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i/>
                <w:color w:val="auto"/>
                <w:w w:val="0"/>
                <w:sz w:val="18"/>
                <w:szCs w:val="18"/>
              </w:rPr>
            </w:pPr>
            <w:r w:rsidRPr="00CB3205">
              <w:rPr>
                <w:rFonts w:asciiTheme="minorHAnsi" w:hAnsiTheme="minorHAnsi" w:cstheme="minorHAnsi"/>
                <w:b/>
                <w:bCs/>
                <w:color w:val="auto"/>
                <w:w w:val="0"/>
                <w:sz w:val="18"/>
                <w:szCs w:val="18"/>
              </w:rPr>
              <w:t xml:space="preserve">L’investisseur peut obtenir auprès de </w:t>
            </w:r>
            <w:proofErr w:type="spellStart"/>
            <w:r w:rsidRPr="00CB3205">
              <w:rPr>
                <w:rFonts w:asciiTheme="minorHAnsi" w:hAnsiTheme="minorHAnsi" w:cstheme="minorHAnsi"/>
                <w:b/>
                <w:bCs/>
                <w:color w:val="auto"/>
                <w:w w:val="0"/>
                <w:sz w:val="18"/>
                <w:szCs w:val="18"/>
              </w:rPr>
              <w:t>xxxxxxxxxxxx</w:t>
            </w:r>
            <w:proofErr w:type="spellEnd"/>
            <w:r w:rsidRPr="00CB3205">
              <w:rPr>
                <w:rFonts w:asciiTheme="minorHAnsi" w:hAnsiTheme="minorHAnsi" w:cstheme="minorHAnsi"/>
                <w:b/>
                <w:bCs/>
                <w:color w:val="auto"/>
                <w:w w:val="0"/>
                <w:sz w:val="18"/>
                <w:szCs w:val="18"/>
              </w:rPr>
              <w:t>, le montant effectif des frais d’entrée et de sortie.</w:t>
            </w:r>
          </w:p>
        </w:tc>
      </w:tr>
      <w:tr w:rsidR="007B7906" w:rsidRPr="00092DE7" w:rsidTr="008B4705">
        <w:tc>
          <w:tcPr>
            <w:tcW w:w="5000" w:type="pct"/>
            <w:gridSpan w:val="2"/>
            <w:shd w:val="clear" w:color="auto" w:fill="auto"/>
          </w:tcPr>
          <w:p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prélevés par le fonds sur une année</w:t>
            </w:r>
          </w:p>
        </w:tc>
      </w:tr>
      <w:tr w:rsidR="007B7906" w:rsidRPr="00092DE7" w:rsidTr="008B4705">
        <w:tc>
          <w:tcPr>
            <w:tcW w:w="2508" w:type="pct"/>
            <w:shd w:val="clear" w:color="auto" w:fill="auto"/>
          </w:tcPr>
          <w:p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courants</w:t>
            </w:r>
          </w:p>
        </w:tc>
        <w:tc>
          <w:tcPr>
            <w:tcW w:w="2492" w:type="pct"/>
            <w:shd w:val="clear" w:color="auto" w:fill="auto"/>
          </w:tcPr>
          <w:p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w:t>
            </w:r>
          </w:p>
        </w:tc>
      </w:tr>
      <w:tr w:rsidR="007B7906" w:rsidRPr="00092DE7" w:rsidTr="008B4705">
        <w:tc>
          <w:tcPr>
            <w:tcW w:w="5000" w:type="pct"/>
            <w:gridSpan w:val="2"/>
            <w:shd w:val="clear" w:color="auto" w:fill="auto"/>
          </w:tcPr>
          <w:p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prélevés par le fonds dans certaines circonstances</w:t>
            </w:r>
          </w:p>
        </w:tc>
      </w:tr>
      <w:tr w:rsidR="007B7906" w:rsidRPr="00092DE7" w:rsidTr="008B4705">
        <w:trPr>
          <w:trHeight w:val="347"/>
        </w:trPr>
        <w:tc>
          <w:tcPr>
            <w:tcW w:w="2508" w:type="pct"/>
            <w:shd w:val="clear" w:color="auto" w:fill="auto"/>
          </w:tcPr>
          <w:p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Commission de performance</w:t>
            </w:r>
          </w:p>
        </w:tc>
        <w:tc>
          <w:tcPr>
            <w:tcW w:w="2492" w:type="pct"/>
            <w:shd w:val="clear" w:color="auto" w:fill="auto"/>
          </w:tcPr>
          <w:p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 xml:space="preserve">% de la surperformance du </w:t>
            </w:r>
            <w:r w:rsidRPr="00CB3205">
              <w:rPr>
                <w:rFonts w:asciiTheme="minorHAnsi" w:hAnsiTheme="minorHAnsi" w:cstheme="minorHAnsi"/>
                <w:b/>
                <w:color w:val="auto"/>
                <w:sz w:val="18"/>
                <w:szCs w:val="18"/>
              </w:rPr>
              <w:t>fonds d’épargne salariale</w:t>
            </w:r>
            <w:r w:rsidRPr="00CB3205">
              <w:rPr>
                <w:rFonts w:asciiTheme="minorHAnsi" w:hAnsiTheme="minorHAnsi" w:cstheme="minorHAnsi"/>
                <w:color w:val="auto"/>
                <w:sz w:val="18"/>
                <w:szCs w:val="18"/>
              </w:rPr>
              <w:t xml:space="preserve"> </w:t>
            </w:r>
            <w:r w:rsidRPr="00CB3205">
              <w:rPr>
                <w:rFonts w:asciiTheme="minorHAnsi" w:hAnsiTheme="minorHAnsi" w:cstheme="minorHAnsi"/>
                <w:b/>
                <w:bCs/>
                <w:color w:val="auto"/>
                <w:w w:val="0"/>
                <w:sz w:val="18"/>
                <w:szCs w:val="18"/>
              </w:rPr>
              <w:t>par rapport à [nom de l’indicateur de référence]</w:t>
            </w:r>
          </w:p>
        </w:tc>
      </w:tr>
    </w:tbl>
    <w:p w:rsidR="007B7906" w:rsidRPr="007A0DC8" w:rsidRDefault="007B7906" w:rsidP="007B7906">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préciser que ce chiffre se fonde sur les frais de l’exercice précédent, clos en [indiquer le mois et l’année], et que ce chiffre peut varier d’un exercice à l’autre.</w:t>
      </w:r>
    </w:p>
    <w:p w:rsidR="007B7906" w:rsidRPr="007A0DC8" w:rsidRDefault="007B7906" w:rsidP="007B7906">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En cas de commission de surperformance, le montant facturé au titre du dernier exercice est inclus, également sous la forme d’un pourcentage</w:t>
      </w:r>
    </w:p>
    <w:p w:rsidR="007B7906" w:rsidRPr="007A0DC8" w:rsidRDefault="007B7906" w:rsidP="007B7906">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Pour plus d’information sur les frais, veuillez-vous référer aux pages X à X / à la section frais du prospectus de ce fonds d’épargne salariale, disponible sur le site internet www.</w:t>
      </w:r>
    </w:p>
    <w:p w:rsidR="007B7906" w:rsidRPr="007A0DC8" w:rsidRDefault="007B7906" w:rsidP="007B7906">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lastRenderedPageBreak/>
        <w:t>Les frais courants ne comprennent pas : les commissions de surperformance et les frais d’intermédiation excepté dans le cas de frais d’entrée et/ou de sortie payés par le fonds d’épargne salariale lorsqu’il achète ou vend des parts d’un autre véhicule de gestion collective.</w:t>
      </w:r>
    </w:p>
    <w:p w:rsidR="007B7906" w:rsidRPr="007A0DC8" w:rsidRDefault="007B7906" w:rsidP="007B7906">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De plus, l’information suivante doit être précisée : « les frais et commissions acquittés servent à couvrir les coûts d’exploitation du fonds d’épargne salariale y compris les coûts de distributions des parts, ces frais réduisent la croissance potentielle des investissements.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color w:val="auto"/>
          <w:sz w:val="18"/>
          <w:szCs w:val="18"/>
        </w:rPr>
      </w:pPr>
      <w:r w:rsidRPr="007A0DC8">
        <w:rPr>
          <w:rFonts w:asciiTheme="minorHAnsi" w:hAnsiTheme="minorHAnsi" w:cstheme="minorHAnsi"/>
          <w:b/>
          <w:color w:val="auto"/>
          <w:sz w:val="18"/>
          <w:szCs w:val="18"/>
        </w:rPr>
        <w:t xml:space="preserve">Performances passées : </w:t>
      </w:r>
    </w:p>
    <w:p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Arial" w:hAnsi="Arial" w:cs="Arial"/>
          <w:color w:val="auto"/>
          <w:sz w:val="16"/>
          <w:szCs w:val="16"/>
        </w:rPr>
      </w:pPr>
      <w:r w:rsidRPr="00845AD5">
        <w:rPr>
          <w:rFonts w:ascii="Arial" w:hAnsi="Arial" w:cs="Arial"/>
          <w:noProof/>
          <w:color w:val="auto"/>
          <w:sz w:val="16"/>
          <w:szCs w:val="16"/>
        </w:rPr>
        <mc:AlternateContent>
          <mc:Choice Requires="wpc">
            <w:drawing>
              <wp:inline distT="0" distB="0" distL="0" distR="0" wp14:anchorId="1BEFD430" wp14:editId="5AABE384">
                <wp:extent cx="3241675" cy="1913255"/>
                <wp:effectExtent l="0" t="0" r="15875" b="10795"/>
                <wp:docPr id="89" name="Zone de dessin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
                        <wps:cNvSpPr>
                          <a:spLocks noChangeArrowheads="1"/>
                        </wps:cNvSpPr>
                        <wps:spPr bwMode="auto">
                          <a:xfrm>
                            <a:off x="24130" y="24130"/>
                            <a:ext cx="2919095" cy="1856740"/>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7" name="Rectangle 7"/>
                        <wps:cNvSpPr>
                          <a:spLocks noChangeArrowheads="1"/>
                        </wps:cNvSpPr>
                        <wps:spPr bwMode="auto">
                          <a:xfrm>
                            <a:off x="292735" y="302260"/>
                            <a:ext cx="2540000" cy="1415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wps:spPr bwMode="auto">
                          <a:xfrm>
                            <a:off x="292735" y="1717675"/>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wps:spPr bwMode="auto">
                          <a:xfrm>
                            <a:off x="292735" y="1516380"/>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292735" y="1315085"/>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wps:spPr bwMode="auto">
                          <a:xfrm>
                            <a:off x="292735" y="906780"/>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292735" y="705485"/>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292735" y="503555"/>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292735" y="302260"/>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292735" y="302260"/>
                            <a:ext cx="2540000" cy="1415415"/>
                          </a:xfrm>
                          <a:prstGeom prst="rect">
                            <a:avLst/>
                          </a:prstGeom>
                          <a:noFill/>
                          <a:ln w="8">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360045" y="1007745"/>
                            <a:ext cx="91440" cy="10541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17" name="Rectangle 17"/>
                        <wps:cNvSpPr>
                          <a:spLocks noChangeArrowheads="1"/>
                        </wps:cNvSpPr>
                        <wps:spPr bwMode="auto">
                          <a:xfrm>
                            <a:off x="590550" y="1113155"/>
                            <a:ext cx="91440" cy="81915"/>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821055" y="940435"/>
                            <a:ext cx="91440" cy="17272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1051560" y="700405"/>
                            <a:ext cx="90805" cy="41275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0" name="Rectangle 20"/>
                        <wps:cNvSpPr>
                          <a:spLocks noChangeArrowheads="1"/>
                        </wps:cNvSpPr>
                        <wps:spPr bwMode="auto">
                          <a:xfrm>
                            <a:off x="1282065" y="854075"/>
                            <a:ext cx="90805" cy="25908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1" name="Rectangle 21"/>
                        <wps:cNvSpPr>
                          <a:spLocks noChangeArrowheads="1"/>
                        </wps:cNvSpPr>
                        <wps:spPr bwMode="auto">
                          <a:xfrm>
                            <a:off x="1512570" y="1113155"/>
                            <a:ext cx="95885" cy="508635"/>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2" name="Rectangle 22"/>
                        <wps:cNvSpPr>
                          <a:spLocks noChangeArrowheads="1"/>
                        </wps:cNvSpPr>
                        <wps:spPr bwMode="auto">
                          <a:xfrm>
                            <a:off x="1747520" y="1113155"/>
                            <a:ext cx="91440" cy="125095"/>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3" name="Rectangle 23"/>
                        <wps:cNvSpPr>
                          <a:spLocks noChangeArrowheads="1"/>
                        </wps:cNvSpPr>
                        <wps:spPr bwMode="auto">
                          <a:xfrm>
                            <a:off x="1978025" y="998220"/>
                            <a:ext cx="91440" cy="114935"/>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2208530" y="1045845"/>
                            <a:ext cx="91440" cy="6731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2439035" y="763270"/>
                            <a:ext cx="90805" cy="349885"/>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6" name="Rectangle 26"/>
                        <wps:cNvSpPr>
                          <a:spLocks noChangeArrowheads="1"/>
                        </wps:cNvSpPr>
                        <wps:spPr bwMode="auto">
                          <a:xfrm>
                            <a:off x="2669540" y="484505"/>
                            <a:ext cx="90805" cy="62865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7" name="Line 26"/>
                        <wps:cNvCnPr/>
                        <wps:spPr bwMode="auto">
                          <a:xfrm>
                            <a:off x="292735" y="302260"/>
                            <a:ext cx="0" cy="14154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7"/>
                        <wps:cNvCnPr/>
                        <wps:spPr bwMode="auto">
                          <a:xfrm>
                            <a:off x="278765" y="1717675"/>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278765" y="1516380"/>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wps:spPr bwMode="auto">
                          <a:xfrm>
                            <a:off x="278765" y="1315085"/>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0"/>
                        <wps:cNvCnPr/>
                        <wps:spPr bwMode="auto">
                          <a:xfrm>
                            <a:off x="278765" y="1113155"/>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1"/>
                        <wps:cNvCnPr/>
                        <wps:spPr bwMode="auto">
                          <a:xfrm>
                            <a:off x="278765" y="906780"/>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2"/>
                        <wps:cNvCnPr/>
                        <wps:spPr bwMode="auto">
                          <a:xfrm>
                            <a:off x="278765" y="705485"/>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wps:spPr bwMode="auto">
                          <a:xfrm>
                            <a:off x="278765" y="503555"/>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4"/>
                        <wps:cNvCnPr/>
                        <wps:spPr bwMode="auto">
                          <a:xfrm>
                            <a:off x="278765" y="302260"/>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5"/>
                        <wps:cNvCnPr/>
                        <wps:spPr bwMode="auto">
                          <a:xfrm>
                            <a:off x="292735" y="1113155"/>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6"/>
                        <wps:cNvCnPr/>
                        <wps:spPr bwMode="auto">
                          <a:xfrm flipV="1">
                            <a:off x="29273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7"/>
                        <wps:cNvCnPr/>
                        <wps:spPr bwMode="auto">
                          <a:xfrm flipV="1">
                            <a:off x="52324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8"/>
                        <wps:cNvCnPr/>
                        <wps:spPr bwMode="auto">
                          <a:xfrm flipV="1">
                            <a:off x="75374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9"/>
                        <wps:cNvCnPr/>
                        <wps:spPr bwMode="auto">
                          <a:xfrm flipV="1">
                            <a:off x="98425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wps:spPr bwMode="auto">
                          <a:xfrm flipV="1">
                            <a:off x="121475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1"/>
                        <wps:cNvCnPr/>
                        <wps:spPr bwMode="auto">
                          <a:xfrm flipV="1">
                            <a:off x="144526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2"/>
                        <wps:cNvCnPr/>
                        <wps:spPr bwMode="auto">
                          <a:xfrm flipV="1">
                            <a:off x="168021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3"/>
                        <wps:cNvCnPr/>
                        <wps:spPr bwMode="auto">
                          <a:xfrm flipV="1">
                            <a:off x="191071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4"/>
                        <wps:cNvCnPr/>
                        <wps:spPr bwMode="auto">
                          <a:xfrm flipV="1">
                            <a:off x="214122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5"/>
                        <wps:cNvCnPr/>
                        <wps:spPr bwMode="auto">
                          <a:xfrm flipV="1">
                            <a:off x="237172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wps:spPr bwMode="auto">
                          <a:xfrm flipV="1">
                            <a:off x="260223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7"/>
                        <wps:cNvCnPr/>
                        <wps:spPr bwMode="auto">
                          <a:xfrm flipV="1">
                            <a:off x="283273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49"/>
                        <wps:cNvSpPr>
                          <a:spLocks noChangeArrowheads="1"/>
                        </wps:cNvSpPr>
                        <wps:spPr bwMode="auto">
                          <a:xfrm>
                            <a:off x="758825" y="86360"/>
                            <a:ext cx="18332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sidRPr="007A007B">
                                <w:rPr>
                                  <w:b/>
                                  <w:color w:val="000000"/>
                                  <w:sz w:val="12"/>
                                </w:rPr>
                                <w:t xml:space="preserve">Performances passées du </w:t>
                              </w:r>
                              <w:r w:rsidRPr="007A007B">
                                <w:rPr>
                                  <w:rFonts w:cs="Arial"/>
                                  <w:b/>
                                  <w:bCs/>
                                  <w:color w:val="000000"/>
                                  <w:sz w:val="12"/>
                                  <w:szCs w:val="12"/>
                                </w:rPr>
                                <w:t>fonds d’épargne salariale</w:t>
                              </w:r>
                              <w:r w:rsidRPr="007A007B">
                                <w:rPr>
                                  <w:b/>
                                  <w:color w:val="000000"/>
                                  <w:sz w:val="12"/>
                                </w:rPr>
                                <w:t xml:space="preserve"> XYZ</w:t>
                              </w:r>
                            </w:p>
                          </w:txbxContent>
                        </wps:txbx>
                        <wps:bodyPr rot="0" vert="horz" wrap="none" lIns="0" tIns="0" rIns="0" bIns="0" anchor="t" anchorCtr="0">
                          <a:spAutoFit/>
                        </wps:bodyPr>
                      </wps:wsp>
                      <wps:wsp>
                        <wps:cNvPr id="50" name="Rectangle 50"/>
                        <wps:cNvSpPr>
                          <a:spLocks noChangeArrowheads="1"/>
                        </wps:cNvSpPr>
                        <wps:spPr bwMode="auto">
                          <a:xfrm>
                            <a:off x="1252855" y="76771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12</w:t>
                              </w:r>
                              <w:proofErr w:type="gramStart"/>
                              <w:r>
                                <w:rPr>
                                  <w:rFonts w:cs="Arial"/>
                                  <w:b/>
                                  <w:bCs/>
                                  <w:color w:val="000000"/>
                                  <w:sz w:val="8"/>
                                  <w:szCs w:val="8"/>
                                  <w:lang w:val="en-US"/>
                                </w:rPr>
                                <w:t>,8</w:t>
                              </w:r>
                              <w:proofErr w:type="gramEnd"/>
                              <w:r>
                                <w:rPr>
                                  <w:rFonts w:cs="Arial"/>
                                  <w:b/>
                                  <w:bCs/>
                                  <w:color w:val="000000"/>
                                  <w:sz w:val="8"/>
                                  <w:szCs w:val="8"/>
                                  <w:lang w:val="en-US"/>
                                </w:rPr>
                                <w:t>%</w:t>
                              </w:r>
                            </w:p>
                          </w:txbxContent>
                        </wps:txbx>
                        <wps:bodyPr rot="0" vert="horz" wrap="none" lIns="0" tIns="0" rIns="0" bIns="0" anchor="t" anchorCtr="0">
                          <a:spAutoFit/>
                        </wps:bodyPr>
                      </wps:wsp>
                      <wps:wsp>
                        <wps:cNvPr id="51" name="Rectangle 51"/>
                        <wps:cNvSpPr>
                          <a:spLocks noChangeArrowheads="1"/>
                        </wps:cNvSpPr>
                        <wps:spPr bwMode="auto">
                          <a:xfrm>
                            <a:off x="1478915" y="1645920"/>
                            <a:ext cx="1568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-25</w:t>
                              </w:r>
                              <w:proofErr w:type="gramStart"/>
                              <w:r>
                                <w:rPr>
                                  <w:rFonts w:cs="Arial"/>
                                  <w:b/>
                                  <w:bCs/>
                                  <w:color w:val="000000"/>
                                  <w:sz w:val="8"/>
                                  <w:szCs w:val="8"/>
                                  <w:lang w:val="en-US"/>
                                </w:rPr>
                                <w:t>,2</w:t>
                              </w:r>
                              <w:proofErr w:type="gramEnd"/>
                              <w:r>
                                <w:rPr>
                                  <w:rFonts w:cs="Arial"/>
                                  <w:b/>
                                  <w:bCs/>
                                  <w:color w:val="000000"/>
                                  <w:sz w:val="8"/>
                                  <w:szCs w:val="8"/>
                                  <w:lang w:val="en-US"/>
                                </w:rPr>
                                <w:t>%</w:t>
                              </w:r>
                            </w:p>
                          </w:txbxContent>
                        </wps:txbx>
                        <wps:bodyPr rot="0" vert="horz" wrap="none" lIns="0" tIns="0" rIns="0" bIns="0" anchor="t" anchorCtr="0">
                          <a:spAutoFit/>
                        </wps:bodyPr>
                      </wps:wsp>
                      <wps:wsp>
                        <wps:cNvPr id="52" name="Rectangle 52"/>
                        <wps:cNvSpPr>
                          <a:spLocks noChangeArrowheads="1"/>
                        </wps:cNvSpPr>
                        <wps:spPr bwMode="auto">
                          <a:xfrm>
                            <a:off x="1732915" y="1266825"/>
                            <a:ext cx="1314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-6</w:t>
                              </w:r>
                              <w:proofErr w:type="gramStart"/>
                              <w:r>
                                <w:rPr>
                                  <w:rFonts w:cs="Arial"/>
                                  <w:b/>
                                  <w:bCs/>
                                  <w:color w:val="000000"/>
                                  <w:sz w:val="8"/>
                                  <w:szCs w:val="8"/>
                                  <w:lang w:val="en-US"/>
                                </w:rPr>
                                <w:t>,3</w:t>
                              </w:r>
                              <w:proofErr w:type="gramEnd"/>
                              <w:r>
                                <w:rPr>
                                  <w:rFonts w:cs="Arial"/>
                                  <w:b/>
                                  <w:bCs/>
                                  <w:color w:val="000000"/>
                                  <w:sz w:val="8"/>
                                  <w:szCs w:val="8"/>
                                  <w:lang w:val="en-US"/>
                                </w:rPr>
                                <w:t>%</w:t>
                              </w:r>
                            </w:p>
                          </w:txbxContent>
                        </wps:txbx>
                        <wps:bodyPr rot="0" vert="horz" wrap="none" lIns="0" tIns="0" rIns="0" bIns="0" anchor="t" anchorCtr="0">
                          <a:spAutoFit/>
                        </wps:bodyPr>
                      </wps:wsp>
                      <wps:wsp>
                        <wps:cNvPr id="53" name="Rectangle 53"/>
                        <wps:cNvSpPr>
                          <a:spLocks noChangeArrowheads="1"/>
                        </wps:cNvSpPr>
                        <wps:spPr bwMode="auto">
                          <a:xfrm>
                            <a:off x="1972945" y="906780"/>
                            <a:ext cx="1149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5</w:t>
                              </w:r>
                              <w:proofErr w:type="gramStart"/>
                              <w:r>
                                <w:rPr>
                                  <w:rFonts w:cs="Arial"/>
                                  <w:b/>
                                  <w:bCs/>
                                  <w:color w:val="000000"/>
                                  <w:sz w:val="8"/>
                                  <w:szCs w:val="8"/>
                                  <w:lang w:val="en-US"/>
                                </w:rPr>
                                <w:t>,6</w:t>
                              </w:r>
                              <w:proofErr w:type="gramEnd"/>
                              <w:r>
                                <w:rPr>
                                  <w:rFonts w:cs="Arial"/>
                                  <w:b/>
                                  <w:bCs/>
                                  <w:color w:val="000000"/>
                                  <w:sz w:val="8"/>
                                  <w:szCs w:val="8"/>
                                  <w:lang w:val="en-US"/>
                                </w:rPr>
                                <w:t>%</w:t>
                              </w:r>
                            </w:p>
                          </w:txbxContent>
                        </wps:txbx>
                        <wps:bodyPr rot="0" vert="horz" wrap="none" lIns="0" tIns="0" rIns="0" bIns="0" anchor="t" anchorCtr="0">
                          <a:spAutoFit/>
                        </wps:bodyPr>
                      </wps:wsp>
                      <wps:wsp>
                        <wps:cNvPr id="54" name="Rectangle 54"/>
                        <wps:cNvSpPr>
                          <a:spLocks noChangeArrowheads="1"/>
                        </wps:cNvSpPr>
                        <wps:spPr bwMode="auto">
                          <a:xfrm>
                            <a:off x="350520" y="911860"/>
                            <a:ext cx="1149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5</w:t>
                              </w:r>
                              <w:proofErr w:type="gramStart"/>
                              <w:r>
                                <w:rPr>
                                  <w:rFonts w:cs="Arial"/>
                                  <w:b/>
                                  <w:bCs/>
                                  <w:color w:val="000000"/>
                                  <w:sz w:val="8"/>
                                  <w:szCs w:val="8"/>
                                  <w:lang w:val="en-US"/>
                                </w:rPr>
                                <w:t>,1</w:t>
                              </w:r>
                              <w:proofErr w:type="gramEnd"/>
                              <w:r>
                                <w:rPr>
                                  <w:rFonts w:cs="Arial"/>
                                  <w:b/>
                                  <w:bCs/>
                                  <w:color w:val="000000"/>
                                  <w:sz w:val="8"/>
                                  <w:szCs w:val="8"/>
                                  <w:lang w:val="en-US"/>
                                </w:rPr>
                                <w:t>%</w:t>
                              </w:r>
                            </w:p>
                          </w:txbxContent>
                        </wps:txbx>
                        <wps:bodyPr rot="0" vert="horz" wrap="none" lIns="0" tIns="0" rIns="0" bIns="0" anchor="t" anchorCtr="0">
                          <a:spAutoFit/>
                        </wps:bodyPr>
                      </wps:wsp>
                      <wps:wsp>
                        <wps:cNvPr id="55" name="Rectangle 55"/>
                        <wps:cNvSpPr>
                          <a:spLocks noChangeArrowheads="1"/>
                        </wps:cNvSpPr>
                        <wps:spPr bwMode="auto">
                          <a:xfrm>
                            <a:off x="566420" y="1199515"/>
                            <a:ext cx="1314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-4</w:t>
                              </w:r>
                              <w:proofErr w:type="gramStart"/>
                              <w:r>
                                <w:rPr>
                                  <w:rFonts w:cs="Arial"/>
                                  <w:b/>
                                  <w:bCs/>
                                  <w:color w:val="000000"/>
                                  <w:sz w:val="8"/>
                                  <w:szCs w:val="8"/>
                                  <w:lang w:val="en-US"/>
                                </w:rPr>
                                <w:t>,2</w:t>
                              </w:r>
                              <w:proofErr w:type="gramEnd"/>
                              <w:r>
                                <w:rPr>
                                  <w:rFonts w:cs="Arial"/>
                                  <w:b/>
                                  <w:bCs/>
                                  <w:color w:val="000000"/>
                                  <w:sz w:val="8"/>
                                  <w:szCs w:val="8"/>
                                  <w:lang w:val="en-US"/>
                                </w:rPr>
                                <w:t>%</w:t>
                              </w:r>
                            </w:p>
                          </w:txbxContent>
                        </wps:txbx>
                        <wps:bodyPr rot="0" vert="horz" wrap="none" lIns="0" tIns="0" rIns="0" bIns="0" anchor="t" anchorCtr="0">
                          <a:spAutoFit/>
                        </wps:bodyPr>
                      </wps:wsp>
                      <wps:wsp>
                        <wps:cNvPr id="56" name="Rectangle 56"/>
                        <wps:cNvSpPr>
                          <a:spLocks noChangeArrowheads="1"/>
                        </wps:cNvSpPr>
                        <wps:spPr bwMode="auto">
                          <a:xfrm>
                            <a:off x="802005" y="849630"/>
                            <a:ext cx="1149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8</w:t>
                              </w:r>
                              <w:proofErr w:type="gramStart"/>
                              <w:r>
                                <w:rPr>
                                  <w:rFonts w:cs="Arial"/>
                                  <w:b/>
                                  <w:bCs/>
                                  <w:color w:val="000000"/>
                                  <w:sz w:val="8"/>
                                  <w:szCs w:val="8"/>
                                  <w:lang w:val="en-US"/>
                                </w:rPr>
                                <w:t>,5</w:t>
                              </w:r>
                              <w:proofErr w:type="gramEnd"/>
                              <w:r>
                                <w:rPr>
                                  <w:rFonts w:cs="Arial"/>
                                  <w:b/>
                                  <w:bCs/>
                                  <w:color w:val="000000"/>
                                  <w:sz w:val="8"/>
                                  <w:szCs w:val="8"/>
                                  <w:lang w:val="en-US"/>
                                </w:rPr>
                                <w:t>%</w:t>
                              </w:r>
                            </w:p>
                          </w:txbxContent>
                        </wps:txbx>
                        <wps:bodyPr rot="0" vert="horz" wrap="none" lIns="0" tIns="0" rIns="0" bIns="0" anchor="t" anchorCtr="0">
                          <a:spAutoFit/>
                        </wps:bodyPr>
                      </wps:wsp>
                      <wps:wsp>
                        <wps:cNvPr id="57" name="Rectangle 57"/>
                        <wps:cNvSpPr>
                          <a:spLocks noChangeArrowheads="1"/>
                        </wps:cNvSpPr>
                        <wps:spPr bwMode="auto">
                          <a:xfrm>
                            <a:off x="1027430" y="58991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20</w:t>
                              </w:r>
                              <w:proofErr w:type="gramStart"/>
                              <w:r>
                                <w:rPr>
                                  <w:rFonts w:cs="Arial"/>
                                  <w:b/>
                                  <w:bCs/>
                                  <w:color w:val="000000"/>
                                  <w:sz w:val="8"/>
                                  <w:szCs w:val="8"/>
                                  <w:lang w:val="en-US"/>
                                </w:rPr>
                                <w:t>,4</w:t>
                              </w:r>
                              <w:proofErr w:type="gramEnd"/>
                              <w:r>
                                <w:rPr>
                                  <w:rFonts w:cs="Arial"/>
                                  <w:b/>
                                  <w:bCs/>
                                  <w:color w:val="000000"/>
                                  <w:sz w:val="8"/>
                                  <w:szCs w:val="8"/>
                                  <w:lang w:val="en-US"/>
                                </w:rPr>
                                <w:t>%</w:t>
                              </w:r>
                            </w:p>
                          </w:txbxContent>
                        </wps:txbx>
                        <wps:bodyPr rot="0" vert="horz" wrap="none" lIns="0" tIns="0" rIns="0" bIns="0" anchor="t" anchorCtr="0">
                          <a:spAutoFit/>
                        </wps:bodyPr>
                      </wps:wsp>
                      <wps:wsp>
                        <wps:cNvPr id="58" name="Rectangle 58"/>
                        <wps:cNvSpPr>
                          <a:spLocks noChangeArrowheads="1"/>
                        </wps:cNvSpPr>
                        <wps:spPr bwMode="auto">
                          <a:xfrm>
                            <a:off x="2193925" y="969010"/>
                            <a:ext cx="1149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3</w:t>
                              </w:r>
                              <w:proofErr w:type="gramStart"/>
                              <w:r>
                                <w:rPr>
                                  <w:rFonts w:cs="Arial"/>
                                  <w:b/>
                                  <w:bCs/>
                                  <w:color w:val="000000"/>
                                  <w:sz w:val="8"/>
                                  <w:szCs w:val="8"/>
                                  <w:lang w:val="en-US"/>
                                </w:rPr>
                                <w:t>,3</w:t>
                              </w:r>
                              <w:proofErr w:type="gramEnd"/>
                              <w:r>
                                <w:rPr>
                                  <w:rFonts w:cs="Arial"/>
                                  <w:b/>
                                  <w:bCs/>
                                  <w:color w:val="000000"/>
                                  <w:sz w:val="8"/>
                                  <w:szCs w:val="8"/>
                                  <w:lang w:val="en-US"/>
                                </w:rPr>
                                <w:t>%</w:t>
                              </w:r>
                            </w:p>
                          </w:txbxContent>
                        </wps:txbx>
                        <wps:bodyPr rot="0" vert="horz" wrap="none" lIns="0" tIns="0" rIns="0" bIns="0" anchor="t" anchorCtr="0">
                          <a:spAutoFit/>
                        </wps:bodyPr>
                      </wps:wsp>
                      <wps:wsp>
                        <wps:cNvPr id="59" name="Rectangle 59"/>
                        <wps:cNvSpPr>
                          <a:spLocks noChangeArrowheads="1"/>
                        </wps:cNvSpPr>
                        <wps:spPr bwMode="auto">
                          <a:xfrm>
                            <a:off x="2405380" y="64325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17</w:t>
                              </w:r>
                              <w:proofErr w:type="gramStart"/>
                              <w:r>
                                <w:rPr>
                                  <w:rFonts w:cs="Arial"/>
                                  <w:b/>
                                  <w:bCs/>
                                  <w:color w:val="000000"/>
                                  <w:sz w:val="8"/>
                                  <w:szCs w:val="8"/>
                                  <w:lang w:val="en-US"/>
                                </w:rPr>
                                <w:t>,2</w:t>
                              </w:r>
                              <w:proofErr w:type="gramEnd"/>
                              <w:r>
                                <w:rPr>
                                  <w:rFonts w:cs="Arial"/>
                                  <w:b/>
                                  <w:bCs/>
                                  <w:color w:val="000000"/>
                                  <w:sz w:val="8"/>
                                  <w:szCs w:val="8"/>
                                  <w:lang w:val="en-US"/>
                                </w:rPr>
                                <w:t>%</w:t>
                              </w:r>
                            </w:p>
                          </w:txbxContent>
                        </wps:txbx>
                        <wps:bodyPr rot="0" vert="horz" wrap="none" lIns="0" tIns="0" rIns="0" bIns="0" anchor="t" anchorCtr="0">
                          <a:spAutoFit/>
                        </wps:bodyPr>
                      </wps:wsp>
                      <wps:wsp>
                        <wps:cNvPr id="60" name="Rectangle 60"/>
                        <wps:cNvSpPr>
                          <a:spLocks noChangeArrowheads="1"/>
                        </wps:cNvSpPr>
                        <wps:spPr bwMode="auto">
                          <a:xfrm>
                            <a:off x="2630805" y="37909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30</w:t>
                              </w:r>
                              <w:proofErr w:type="gramStart"/>
                              <w:r>
                                <w:rPr>
                                  <w:rFonts w:cs="Arial"/>
                                  <w:b/>
                                  <w:bCs/>
                                  <w:color w:val="000000"/>
                                  <w:sz w:val="8"/>
                                  <w:szCs w:val="8"/>
                                  <w:lang w:val="en-US"/>
                                </w:rPr>
                                <w:t>,9</w:t>
                              </w:r>
                              <w:proofErr w:type="gramEnd"/>
                              <w:r>
                                <w:rPr>
                                  <w:rFonts w:cs="Arial"/>
                                  <w:b/>
                                  <w:bCs/>
                                  <w:color w:val="000000"/>
                                  <w:sz w:val="8"/>
                                  <w:szCs w:val="8"/>
                                  <w:lang w:val="en-US"/>
                                </w:rPr>
                                <w:t>%</w:t>
                              </w:r>
                            </w:p>
                          </w:txbxContent>
                        </wps:txbx>
                        <wps:bodyPr rot="0" vert="horz" wrap="none" lIns="0" tIns="0" rIns="0" bIns="0" anchor="t" anchorCtr="0">
                          <a:spAutoFit/>
                        </wps:bodyPr>
                      </wps:wsp>
                      <wps:wsp>
                        <wps:cNvPr id="61" name="Rectangle 61"/>
                        <wps:cNvSpPr>
                          <a:spLocks noChangeArrowheads="1"/>
                        </wps:cNvSpPr>
                        <wps:spPr bwMode="auto">
                          <a:xfrm>
                            <a:off x="91440" y="1684020"/>
                            <a:ext cx="1568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-30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2" name="Rectangle 62"/>
                        <wps:cNvSpPr>
                          <a:spLocks noChangeArrowheads="1"/>
                        </wps:cNvSpPr>
                        <wps:spPr bwMode="auto">
                          <a:xfrm>
                            <a:off x="91440" y="1482725"/>
                            <a:ext cx="1568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-20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3" name="Rectangle 63"/>
                        <wps:cNvSpPr>
                          <a:spLocks noChangeArrowheads="1"/>
                        </wps:cNvSpPr>
                        <wps:spPr bwMode="auto">
                          <a:xfrm>
                            <a:off x="91440" y="1281430"/>
                            <a:ext cx="1568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-10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4" name="Rectangle 64"/>
                        <wps:cNvSpPr>
                          <a:spLocks noChangeArrowheads="1"/>
                        </wps:cNvSpPr>
                        <wps:spPr bwMode="auto">
                          <a:xfrm>
                            <a:off x="139065" y="1079500"/>
                            <a:ext cx="1149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5" name="Rectangle 65"/>
                        <wps:cNvSpPr>
                          <a:spLocks noChangeArrowheads="1"/>
                        </wps:cNvSpPr>
                        <wps:spPr bwMode="auto">
                          <a:xfrm>
                            <a:off x="110490" y="87312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10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6" name="Rectangle 66"/>
                        <wps:cNvSpPr>
                          <a:spLocks noChangeArrowheads="1"/>
                        </wps:cNvSpPr>
                        <wps:spPr bwMode="auto">
                          <a:xfrm>
                            <a:off x="110490" y="671830"/>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20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7" name="Rectangle 67"/>
                        <wps:cNvSpPr>
                          <a:spLocks noChangeArrowheads="1"/>
                        </wps:cNvSpPr>
                        <wps:spPr bwMode="auto">
                          <a:xfrm>
                            <a:off x="110490" y="47053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30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8" name="Rectangle 68"/>
                        <wps:cNvSpPr>
                          <a:spLocks noChangeArrowheads="1"/>
                        </wps:cNvSpPr>
                        <wps:spPr bwMode="auto">
                          <a:xfrm>
                            <a:off x="110490" y="26860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40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9" name="Rectangle 69"/>
                        <wps:cNvSpPr>
                          <a:spLocks noChangeArrowheads="1"/>
                        </wps:cNvSpPr>
                        <wps:spPr bwMode="auto">
                          <a:xfrm>
                            <a:off x="35052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1999</w:t>
                              </w:r>
                            </w:p>
                          </w:txbxContent>
                        </wps:txbx>
                        <wps:bodyPr rot="0" vert="horz" wrap="none" lIns="0" tIns="0" rIns="0" bIns="0" anchor="t" anchorCtr="0">
                          <a:spAutoFit/>
                        </wps:bodyPr>
                      </wps:wsp>
                      <wps:wsp>
                        <wps:cNvPr id="70" name="Rectangle 70"/>
                        <wps:cNvSpPr>
                          <a:spLocks noChangeArrowheads="1"/>
                        </wps:cNvSpPr>
                        <wps:spPr bwMode="auto">
                          <a:xfrm>
                            <a:off x="581025"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2000</w:t>
                              </w:r>
                            </w:p>
                          </w:txbxContent>
                        </wps:txbx>
                        <wps:bodyPr rot="0" vert="horz" wrap="none" lIns="0" tIns="0" rIns="0" bIns="0" anchor="t" anchorCtr="0">
                          <a:spAutoFit/>
                        </wps:bodyPr>
                      </wps:wsp>
                      <wps:wsp>
                        <wps:cNvPr id="71" name="Rectangle 71"/>
                        <wps:cNvSpPr>
                          <a:spLocks noChangeArrowheads="1"/>
                        </wps:cNvSpPr>
                        <wps:spPr bwMode="auto">
                          <a:xfrm>
                            <a:off x="81153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2001</w:t>
                              </w:r>
                            </w:p>
                          </w:txbxContent>
                        </wps:txbx>
                        <wps:bodyPr rot="0" vert="horz" wrap="none" lIns="0" tIns="0" rIns="0" bIns="0" anchor="t" anchorCtr="0">
                          <a:spAutoFit/>
                        </wps:bodyPr>
                      </wps:wsp>
                      <wps:wsp>
                        <wps:cNvPr id="72" name="Rectangle 72"/>
                        <wps:cNvSpPr>
                          <a:spLocks noChangeArrowheads="1"/>
                        </wps:cNvSpPr>
                        <wps:spPr bwMode="auto">
                          <a:xfrm>
                            <a:off x="1042035"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2002</w:t>
                              </w:r>
                            </w:p>
                          </w:txbxContent>
                        </wps:txbx>
                        <wps:bodyPr rot="0" vert="horz" wrap="none" lIns="0" tIns="0" rIns="0" bIns="0" anchor="t" anchorCtr="0">
                          <a:spAutoFit/>
                        </wps:bodyPr>
                      </wps:wsp>
                      <wps:wsp>
                        <wps:cNvPr id="73" name="Rectangle 73"/>
                        <wps:cNvSpPr>
                          <a:spLocks noChangeArrowheads="1"/>
                        </wps:cNvSpPr>
                        <wps:spPr bwMode="auto">
                          <a:xfrm>
                            <a:off x="127254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2003</w:t>
                              </w:r>
                            </w:p>
                          </w:txbxContent>
                        </wps:txbx>
                        <wps:bodyPr rot="0" vert="horz" wrap="none" lIns="0" tIns="0" rIns="0" bIns="0" anchor="t" anchorCtr="0">
                          <a:spAutoFit/>
                        </wps:bodyPr>
                      </wps:wsp>
                      <wps:wsp>
                        <wps:cNvPr id="74" name="Rectangle 74"/>
                        <wps:cNvSpPr>
                          <a:spLocks noChangeArrowheads="1"/>
                        </wps:cNvSpPr>
                        <wps:spPr bwMode="auto">
                          <a:xfrm>
                            <a:off x="150749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2004</w:t>
                              </w:r>
                            </w:p>
                          </w:txbxContent>
                        </wps:txbx>
                        <wps:bodyPr rot="0" vert="horz" wrap="none" lIns="0" tIns="0" rIns="0" bIns="0" anchor="t" anchorCtr="0">
                          <a:spAutoFit/>
                        </wps:bodyPr>
                      </wps:wsp>
                      <wps:wsp>
                        <wps:cNvPr id="75" name="Rectangle 75"/>
                        <wps:cNvSpPr>
                          <a:spLocks noChangeArrowheads="1"/>
                        </wps:cNvSpPr>
                        <wps:spPr bwMode="auto">
                          <a:xfrm>
                            <a:off x="1737995"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2005</w:t>
                              </w:r>
                            </w:p>
                          </w:txbxContent>
                        </wps:txbx>
                        <wps:bodyPr rot="0" vert="horz" wrap="none" lIns="0" tIns="0" rIns="0" bIns="0" anchor="t" anchorCtr="0">
                          <a:spAutoFit/>
                        </wps:bodyPr>
                      </wps:wsp>
                      <wps:wsp>
                        <wps:cNvPr id="76" name="Rectangle 76"/>
                        <wps:cNvSpPr>
                          <a:spLocks noChangeArrowheads="1"/>
                        </wps:cNvSpPr>
                        <wps:spPr bwMode="auto">
                          <a:xfrm>
                            <a:off x="196850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2006</w:t>
                              </w:r>
                            </w:p>
                          </w:txbxContent>
                        </wps:txbx>
                        <wps:bodyPr rot="0" vert="horz" wrap="none" lIns="0" tIns="0" rIns="0" bIns="0" anchor="t" anchorCtr="0">
                          <a:spAutoFit/>
                        </wps:bodyPr>
                      </wps:wsp>
                      <wps:wsp>
                        <wps:cNvPr id="77" name="Rectangle 77"/>
                        <wps:cNvSpPr>
                          <a:spLocks noChangeArrowheads="1"/>
                        </wps:cNvSpPr>
                        <wps:spPr bwMode="auto">
                          <a:xfrm>
                            <a:off x="2199005"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2007</w:t>
                              </w:r>
                            </w:p>
                          </w:txbxContent>
                        </wps:txbx>
                        <wps:bodyPr rot="0" vert="horz" wrap="none" lIns="0" tIns="0" rIns="0" bIns="0" anchor="t" anchorCtr="0">
                          <a:spAutoFit/>
                        </wps:bodyPr>
                      </wps:wsp>
                      <wps:wsp>
                        <wps:cNvPr id="78" name="Rectangle 78"/>
                        <wps:cNvSpPr>
                          <a:spLocks noChangeArrowheads="1"/>
                        </wps:cNvSpPr>
                        <wps:spPr bwMode="auto">
                          <a:xfrm>
                            <a:off x="242951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2008</w:t>
                              </w:r>
                            </w:p>
                          </w:txbxContent>
                        </wps:txbx>
                        <wps:bodyPr rot="0" vert="horz" wrap="none" lIns="0" tIns="0" rIns="0" bIns="0" anchor="t" anchorCtr="0">
                          <a:spAutoFit/>
                        </wps:bodyPr>
                      </wps:wsp>
                      <wps:wsp>
                        <wps:cNvPr id="79" name="Rectangle 79"/>
                        <wps:cNvSpPr>
                          <a:spLocks noChangeArrowheads="1"/>
                        </wps:cNvSpPr>
                        <wps:spPr bwMode="auto">
                          <a:xfrm>
                            <a:off x="2660015"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b/>
                                  <w:bCs/>
                                  <w:color w:val="000000"/>
                                  <w:sz w:val="8"/>
                                  <w:szCs w:val="8"/>
                                  <w:lang w:val="en-US"/>
                                </w:rPr>
                                <w:t>2009</w:t>
                              </w:r>
                            </w:p>
                          </w:txbxContent>
                        </wps:txbx>
                        <wps:bodyPr rot="0" vert="horz" wrap="none" lIns="0" tIns="0" rIns="0" bIns="0" anchor="t" anchorCtr="0">
                          <a:spAutoFit/>
                        </wps:bodyPr>
                      </wps:wsp>
                      <wps:wsp>
                        <wps:cNvPr id="80" name="Rectangle 80"/>
                        <wps:cNvSpPr>
                          <a:spLocks noChangeArrowheads="1"/>
                        </wps:cNvSpPr>
                        <wps:spPr bwMode="auto">
                          <a:xfrm>
                            <a:off x="2088515" y="1578610"/>
                            <a:ext cx="691515" cy="100965"/>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81" name="Rectangle 81"/>
                        <wps:cNvSpPr>
                          <a:spLocks noChangeArrowheads="1"/>
                        </wps:cNvSpPr>
                        <wps:spPr bwMode="auto">
                          <a:xfrm>
                            <a:off x="2112645" y="1617345"/>
                            <a:ext cx="33655" cy="3302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82" name="Rectangle 82"/>
                        <wps:cNvSpPr>
                          <a:spLocks noChangeArrowheads="1"/>
                        </wps:cNvSpPr>
                        <wps:spPr bwMode="auto">
                          <a:xfrm>
                            <a:off x="2165350" y="1593215"/>
                            <a:ext cx="555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Pr>
                                  <w:rFonts w:cs="Arial"/>
                                  <w:color w:val="000000"/>
                                  <w:sz w:val="10"/>
                                  <w:szCs w:val="10"/>
                                  <w:lang w:val="en-US"/>
                                </w:rPr>
                                <w:t xml:space="preserve">Performance </w:t>
                              </w:r>
                              <w:proofErr w:type="spellStart"/>
                              <w:r>
                                <w:rPr>
                                  <w:rFonts w:cs="Arial"/>
                                  <w:color w:val="000000"/>
                                  <w:sz w:val="10"/>
                                  <w:szCs w:val="10"/>
                                  <w:lang w:val="en-US"/>
                                </w:rPr>
                                <w:t>annuelle</w:t>
                              </w:r>
                              <w:proofErr w:type="spellEnd"/>
                            </w:p>
                          </w:txbxContent>
                        </wps:txbx>
                        <wps:bodyPr rot="0" vert="horz" wrap="none" lIns="0" tIns="0" rIns="0" bIns="0" anchor="t" anchorCtr="0">
                          <a:spAutoFit/>
                        </wps:bodyPr>
                      </wps:wsp>
                      <wps:wsp>
                        <wps:cNvPr id="83" name="Rectangle 83"/>
                        <wps:cNvSpPr>
                          <a:spLocks noChangeArrowheads="1"/>
                        </wps:cNvSpPr>
                        <wps:spPr bwMode="auto">
                          <a:xfrm>
                            <a:off x="24130" y="24130"/>
                            <a:ext cx="2919095" cy="185674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3"/>
                        <wps:cNvSpPr>
                          <a:spLocks noEditPoints="1"/>
                        </wps:cNvSpPr>
                        <wps:spPr bwMode="auto">
                          <a:xfrm>
                            <a:off x="300355" y="554355"/>
                            <a:ext cx="38100" cy="460375"/>
                          </a:xfrm>
                          <a:custGeom>
                            <a:avLst/>
                            <a:gdLst>
                              <a:gd name="T0" fmla="*/ 35 w 60"/>
                              <a:gd name="T1" fmla="*/ 0 h 725"/>
                              <a:gd name="T2" fmla="*/ 35 w 60"/>
                              <a:gd name="T3" fmla="*/ 692 h 725"/>
                              <a:gd name="T4" fmla="*/ 25 w 60"/>
                              <a:gd name="T5" fmla="*/ 692 h 725"/>
                              <a:gd name="T6" fmla="*/ 25 w 60"/>
                              <a:gd name="T7" fmla="*/ 0 h 725"/>
                              <a:gd name="T8" fmla="*/ 35 w 60"/>
                              <a:gd name="T9" fmla="*/ 0 h 725"/>
                              <a:gd name="T10" fmla="*/ 60 w 60"/>
                              <a:gd name="T11" fmla="*/ 665 h 725"/>
                              <a:gd name="T12" fmla="*/ 30 w 60"/>
                              <a:gd name="T13" fmla="*/ 725 h 725"/>
                              <a:gd name="T14" fmla="*/ 0 w 60"/>
                              <a:gd name="T15" fmla="*/ 665 h 725"/>
                              <a:gd name="T16" fmla="*/ 60 w 60"/>
                              <a:gd name="T17" fmla="*/ 665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725">
                                <a:moveTo>
                                  <a:pt x="35" y="0"/>
                                </a:moveTo>
                                <a:lnTo>
                                  <a:pt x="35" y="692"/>
                                </a:lnTo>
                                <a:lnTo>
                                  <a:pt x="25" y="692"/>
                                </a:lnTo>
                                <a:lnTo>
                                  <a:pt x="25" y="0"/>
                                </a:lnTo>
                                <a:lnTo>
                                  <a:pt x="35" y="0"/>
                                </a:lnTo>
                                <a:close/>
                                <a:moveTo>
                                  <a:pt x="60" y="665"/>
                                </a:moveTo>
                                <a:lnTo>
                                  <a:pt x="30" y="725"/>
                                </a:lnTo>
                                <a:lnTo>
                                  <a:pt x="0" y="665"/>
                                </a:lnTo>
                                <a:lnTo>
                                  <a:pt x="60" y="665"/>
                                </a:lnTo>
                                <a:close/>
                              </a:path>
                            </a:pathLst>
                          </a:custGeom>
                          <a:solidFill>
                            <a:srgbClr val="000000"/>
                          </a:solidFill>
                          <a:ln w="8" cap="flat">
                            <a:solidFill>
                              <a:srgbClr val="000000"/>
                            </a:solidFill>
                            <a:prstDash val="solid"/>
                            <a:bevel/>
                            <a:headEnd/>
                            <a:tailEnd/>
                          </a:ln>
                        </wps:spPr>
                        <wps:bodyPr rot="0" vert="horz" wrap="square" lIns="91440" tIns="45720" rIns="91440" bIns="45720" anchor="t" anchorCtr="0" upright="1">
                          <a:noAutofit/>
                        </wps:bodyPr>
                      </wps:wsp>
                      <wps:wsp>
                        <wps:cNvPr id="85" name="Freeform 84"/>
                        <wps:cNvSpPr>
                          <a:spLocks noEditPoints="1"/>
                        </wps:cNvSpPr>
                        <wps:spPr bwMode="auto">
                          <a:xfrm>
                            <a:off x="1183640" y="554355"/>
                            <a:ext cx="38100" cy="460375"/>
                          </a:xfrm>
                          <a:custGeom>
                            <a:avLst/>
                            <a:gdLst>
                              <a:gd name="T0" fmla="*/ 35 w 60"/>
                              <a:gd name="T1" fmla="*/ 0 h 725"/>
                              <a:gd name="T2" fmla="*/ 35 w 60"/>
                              <a:gd name="T3" fmla="*/ 692 h 725"/>
                              <a:gd name="T4" fmla="*/ 25 w 60"/>
                              <a:gd name="T5" fmla="*/ 692 h 725"/>
                              <a:gd name="T6" fmla="*/ 25 w 60"/>
                              <a:gd name="T7" fmla="*/ 0 h 725"/>
                              <a:gd name="T8" fmla="*/ 35 w 60"/>
                              <a:gd name="T9" fmla="*/ 0 h 725"/>
                              <a:gd name="T10" fmla="*/ 60 w 60"/>
                              <a:gd name="T11" fmla="*/ 665 h 725"/>
                              <a:gd name="T12" fmla="*/ 30 w 60"/>
                              <a:gd name="T13" fmla="*/ 725 h 725"/>
                              <a:gd name="T14" fmla="*/ 0 w 60"/>
                              <a:gd name="T15" fmla="*/ 665 h 725"/>
                              <a:gd name="T16" fmla="*/ 60 w 60"/>
                              <a:gd name="T17" fmla="*/ 665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725">
                                <a:moveTo>
                                  <a:pt x="35" y="0"/>
                                </a:moveTo>
                                <a:lnTo>
                                  <a:pt x="35" y="692"/>
                                </a:lnTo>
                                <a:lnTo>
                                  <a:pt x="25" y="692"/>
                                </a:lnTo>
                                <a:lnTo>
                                  <a:pt x="25" y="0"/>
                                </a:lnTo>
                                <a:lnTo>
                                  <a:pt x="35" y="0"/>
                                </a:lnTo>
                                <a:close/>
                                <a:moveTo>
                                  <a:pt x="60" y="665"/>
                                </a:moveTo>
                                <a:lnTo>
                                  <a:pt x="30" y="725"/>
                                </a:lnTo>
                                <a:lnTo>
                                  <a:pt x="0" y="665"/>
                                </a:lnTo>
                                <a:lnTo>
                                  <a:pt x="60" y="665"/>
                                </a:lnTo>
                                <a:close/>
                              </a:path>
                            </a:pathLst>
                          </a:custGeom>
                          <a:solidFill>
                            <a:srgbClr val="000000"/>
                          </a:solidFill>
                          <a:ln w="8" cap="flat">
                            <a:solidFill>
                              <a:srgbClr val="000000"/>
                            </a:solidFill>
                            <a:prstDash val="solid"/>
                            <a:bevel/>
                            <a:headEnd/>
                            <a:tailEnd/>
                          </a:ln>
                        </wps:spPr>
                        <wps:bodyPr rot="0" vert="horz" wrap="square" lIns="91440" tIns="45720" rIns="91440" bIns="45720" anchor="t" anchorCtr="0" upright="1">
                          <a:noAutofit/>
                        </wps:bodyPr>
                      </wps:wsp>
                      <wps:wsp>
                        <wps:cNvPr id="86" name="Line 85"/>
                        <wps:cNvCnPr/>
                        <wps:spPr bwMode="auto">
                          <a:xfrm>
                            <a:off x="319405" y="554355"/>
                            <a:ext cx="883285" cy="0"/>
                          </a:xfrm>
                          <a:prstGeom prst="line">
                            <a:avLst/>
                          </a:prstGeom>
                          <a:noFill/>
                          <a:ln w="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87"/>
                        <wps:cNvSpPr>
                          <a:spLocks noChangeArrowheads="1"/>
                        </wps:cNvSpPr>
                        <wps:spPr bwMode="auto">
                          <a:xfrm>
                            <a:off x="360045" y="374015"/>
                            <a:ext cx="63563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r w:rsidRPr="007A007B">
                                <w:rPr>
                                  <w:rFonts w:ascii="Small Fonts" w:hAnsi="Small Fonts" w:cs="Small Fonts"/>
                                  <w:color w:val="000000"/>
                                  <w:sz w:val="6"/>
                                  <w:szCs w:val="6"/>
                                </w:rPr>
                                <w:t xml:space="preserve">Durant cette période, </w:t>
                              </w:r>
                              <w:r>
                                <w:rPr>
                                  <w:rFonts w:ascii="Small Fonts" w:hAnsi="Small Fonts" w:cs="Small Fonts"/>
                                  <w:color w:val="000000"/>
                                  <w:sz w:val="6"/>
                                  <w:szCs w:val="6"/>
                                </w:rPr>
                                <w:t>le FIA</w:t>
                              </w:r>
                              <w:r w:rsidRPr="007A007B">
                                <w:rPr>
                                  <w:rFonts w:ascii="Small Fonts" w:hAnsi="Small Fonts" w:cs="Small Fonts"/>
                                  <w:color w:val="000000"/>
                                  <w:sz w:val="6"/>
                                  <w:szCs w:val="6"/>
                                </w:rPr>
                                <w:t xml:space="preserve"> était géré </w:t>
                              </w:r>
                            </w:p>
                          </w:txbxContent>
                        </wps:txbx>
                        <wps:bodyPr rot="0" vert="horz" wrap="none" lIns="0" tIns="0" rIns="0" bIns="0" anchor="t" anchorCtr="0">
                          <a:spAutoFit/>
                        </wps:bodyPr>
                      </wps:wsp>
                      <wps:wsp>
                        <wps:cNvPr id="88" name="Rectangle 88"/>
                        <wps:cNvSpPr>
                          <a:spLocks noChangeArrowheads="1"/>
                        </wps:cNvSpPr>
                        <wps:spPr bwMode="auto">
                          <a:xfrm>
                            <a:off x="360045" y="431800"/>
                            <a:ext cx="73533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06" w:rsidRDefault="007B7906" w:rsidP="007B7906">
                              <w:proofErr w:type="gramStart"/>
                              <w:r w:rsidRPr="007A007B">
                                <w:rPr>
                                  <w:rFonts w:ascii="Small Fonts" w:hAnsi="Small Fonts" w:cs="Small Fonts"/>
                                  <w:color w:val="000000"/>
                                  <w:sz w:val="6"/>
                                  <w:szCs w:val="6"/>
                                </w:rPr>
                                <w:t>de</w:t>
                              </w:r>
                              <w:proofErr w:type="gramEnd"/>
                              <w:r w:rsidRPr="007A007B">
                                <w:rPr>
                                  <w:rFonts w:ascii="Small Fonts" w:hAnsi="Small Fonts" w:cs="Small Fonts"/>
                                  <w:color w:val="000000"/>
                                  <w:sz w:val="6"/>
                                  <w:szCs w:val="6"/>
                                </w:rPr>
                                <w:t xml:space="preserve"> manière différente. </w:t>
                              </w:r>
                              <w:proofErr w:type="spellStart"/>
                              <w:r w:rsidRPr="007A007B">
                                <w:rPr>
                                  <w:rFonts w:ascii="Small Fonts" w:hAnsi="Small Fonts" w:cs="Small Fonts"/>
                                  <w:color w:val="000000"/>
                                  <w:sz w:val="6"/>
                                  <w:szCs w:val="6"/>
                                </w:rPr>
                                <w:t>Cf</w:t>
                              </w:r>
                              <w:proofErr w:type="spellEnd"/>
                              <w:r w:rsidRPr="007A007B">
                                <w:rPr>
                                  <w:rFonts w:ascii="Small Fonts" w:hAnsi="Small Fonts" w:cs="Small Fonts"/>
                                  <w:color w:val="000000"/>
                                  <w:sz w:val="6"/>
                                  <w:szCs w:val="6"/>
                                </w:rPr>
                                <w:t xml:space="preserve"> notre site internet.</w:t>
                              </w:r>
                            </w:p>
                          </w:txbxContent>
                        </wps:txbx>
                        <wps:bodyPr rot="0" vert="horz" wrap="none" lIns="0" tIns="0" rIns="0" bIns="0" anchor="t" anchorCtr="0">
                          <a:spAutoFit/>
                        </wps:bodyPr>
                      </wps:wsp>
                    </wpc:wpc>
                  </a:graphicData>
                </a:graphic>
              </wp:inline>
            </w:drawing>
          </mc:Choice>
          <mc:Fallback>
            <w:pict>
              <v:group w14:anchorId="1BEFD430" id="Zone de dessin 89" o:spid="_x0000_s1026" editas="canvas" style="width:255.25pt;height:150.65pt;mso-position-horizontal-relative:char;mso-position-vertical-relative:line" coordsize="32416,1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">
                <v:shape id="_x0000_s1027" type="#_x0000_t75" style="position:absolute;width:32416;height:19132;visibility:visible;mso-wrap-style:square">
                  <v:fill o:detectmouseclick="t"/>
                  <v:path o:connecttype="none"/>
                </v:shape>
                <v:rect id="Rectangle 1" o:spid="_x0000_s1028" style="position:absolute;left:241;top:241;width:29191;height:18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" strokeweight="0"/>
                <v:rect id="Rectangle 7" o:spid="_x0000_s1029" style="position:absolute;left:2927;top:3022;width:25400;height:1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line id="Line 7" o:spid="_x0000_s1030" style="position:absolute;visibility:visible;mso-wrap-style:square" from="2927,17176" to="28327,1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8" o:spid="_x0000_s1031" style="position:absolute;visibility:visible;mso-wrap-style:square" from="2927,15163" to="28327,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9" o:spid="_x0000_s1032" style="position:absolute;visibility:visible;mso-wrap-style:square" from="2927,13150" to="28327,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10" o:spid="_x0000_s1033" style="position:absolute;visibility:visible;mso-wrap-style:square" from="2927,9067" to="28327,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11" o:spid="_x0000_s1034" style="position:absolute;visibility:visible;mso-wrap-style:square" from="2927,7054" to="28327,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12" o:spid="_x0000_s1035" style="position:absolute;visibility:visible;mso-wrap-style:square" from="2927,5035" to="28327,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13" o:spid="_x0000_s1036" style="position:absolute;visibility:visible;mso-wrap-style:square" from="2927,3022" to="2832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rect id="Rectangle 15" o:spid="_x0000_s1037" style="position:absolute;left:2927;top:3022;width:25400;height:1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" filled="f" strokecolor="gray" strokeweight="22e-5mm"/>
                <v:rect id="Rectangle 16" o:spid="_x0000_s1038" style="position:absolute;left:3600;top:10077;width:91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" fillcolor="#99f" strokeweight="22e-5mm"/>
                <v:rect id="Rectangle 17" o:spid="_x0000_s1039" style="position:absolute;left:5905;top:11131;width:914;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" fillcolor="#99f" strokeweight="22e-5mm"/>
                <v:rect id="Rectangle 18" o:spid="_x0000_s1040" style="position:absolute;left:8210;top:9404;width:914;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" fillcolor="#99f" strokeweight="22e-5mm"/>
                <v:rect id="Rectangle 19" o:spid="_x0000_s1041" style="position:absolute;left:10515;top:7004;width:908;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" fillcolor="#99f" strokeweight="22e-5mm"/>
                <v:rect id="Rectangle 20" o:spid="_x0000_s1042" style="position:absolute;left:12820;top:8540;width:90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" fillcolor="#99f" strokeweight="22e-5mm"/>
                <v:rect id="Rectangle 21" o:spid="_x0000_s1043" style="position:absolute;left:15125;top:11131;width:959;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" fillcolor="#99f" strokeweight="22e-5mm"/>
                <v:rect id="Rectangle 22" o:spid="_x0000_s1044" style="position:absolute;left:17475;top:11131;width:91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" fillcolor="#99f" strokeweight="22e-5mm"/>
                <v:rect id="Rectangle 23" o:spid="_x0000_s1045" style="position:absolute;left:19780;top:9982;width:914;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" fillcolor="#99f" strokeweight="22e-5mm"/>
                <v:rect id="Rectangle 24" o:spid="_x0000_s1046" style="position:absolute;left:22085;top:10458;width:914;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" fillcolor="#99f" strokeweight="22e-5mm"/>
                <v:rect id="Rectangle 25" o:spid="_x0000_s1047" style="position:absolute;left:24390;top:7632;width:908;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" fillcolor="#99f" strokeweight="22e-5mm"/>
                <v:rect id="Rectangle 26" o:spid="_x0000_s1048" style="position:absolute;left:26695;top:4845;width:90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" fillcolor="#99f" strokeweight="22e-5mm"/>
                <v:line id="Line 26" o:spid="_x0000_s1049" style="position:absolute;visibility:visible;mso-wrap-style:square" from="2927,3022" to="2927,1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27" o:spid="_x0000_s1050" style="position:absolute;visibility:visible;mso-wrap-style:square" from="2787,17176" to="2927,1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line id="Line 28" o:spid="_x0000_s1051" style="position:absolute;visibility:visible;mso-wrap-style:square" from="2787,15163" to="2927,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line id="Line 29" o:spid="_x0000_s1052" style="position:absolute;visibility:visible;mso-wrap-style:square" from="2787,13150" to="2927,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line id="Line 30" o:spid="_x0000_s1053" style="position:absolute;visibility:visible;mso-wrap-style:square" from="2787,11131" to="2927,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TwwAAANsAAAAPAAAAZHJzL2Rvd25yZXYueG1sRI9Pa8JA&#10;FMTvBb/D8gRvuolS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535008MAAADbAAAADwAA&#10;AAAAAAAAAAAAAAAHAgAAZHJzL2Rvd25yZXYueG1sUEsFBgAAAAADAAMAtwAAAPcCAAAAAA==&#10;" strokeweight="0"/>
                <v:line id="Line 31" o:spid="_x0000_s1054" style="position:absolute;visibility:visible;mso-wrap-style:square" from="2787,9067" to="2927,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line id="Line 32" o:spid="_x0000_s1055" style="position:absolute;visibility:visible;mso-wrap-style:square" from="2787,7054" to="2927,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line id="Line 33" o:spid="_x0000_s1056" style="position:absolute;visibility:visible;mso-wrap-style:square" from="2787,5035" to="2927,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line id="Line 34" o:spid="_x0000_s1057" style="position:absolute;visibility:visible;mso-wrap-style:square" from="2787,3022" to="292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v:line id="Line 35" o:spid="_x0000_s1058" style="position:absolute;visibility:visible;mso-wrap-style:square" from="2927,11131" to="28327,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line id="Line 36" o:spid="_x0000_s1059" style="position:absolute;flip:y;visibility:visible;mso-wrap-style:square" from="2927,11131" to="292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1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C/i5a1xQAAANsAAAAP&#10;AAAAAAAAAAAAAAAAAAcCAABkcnMvZG93bnJldi54bWxQSwUGAAAAAAMAAwC3AAAA+QIAAAAA&#10;" strokeweight="0"/>
                <v:line id="Line 37" o:spid="_x0000_s1060" style="position:absolute;flip:y;visibility:visible;mso-wrap-style:square" from="5232,11131" to="523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LHwgAAANsAAAAPAAAAZHJzL2Rvd25yZXYueG1sRE/LagIx&#10;FN0X/IdwBXc1Y4V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DOFALHwgAAANsAAAAPAAAA&#10;AAAAAAAAAAAAAAcCAABkcnMvZG93bnJldi54bWxQSwUGAAAAAAMAAwC3AAAA9gIAAAAA&#10;" strokeweight="0"/>
                <v:line id="Line 38" o:spid="_x0000_s1061" style="position:absolute;flip:y;visibility:visible;mso-wrap-style:square" from="7537,11131" to="753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dcxgAAANsAAAAPAAAAZHJzL2Rvd25yZXYueG1sRI9BawIx&#10;FITvBf9DeAVvNVsL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oVinXMYAAADbAAAA&#10;DwAAAAAAAAAAAAAAAAAHAgAAZHJzL2Rvd25yZXYueG1sUEsFBgAAAAADAAMAtwAAAPoCAAAAAA==&#10;" strokeweight="0"/>
                <v:line id="Line 39" o:spid="_x0000_s1062" style="position:absolute;flip:y;visibility:visible;mso-wrap-style:square" from="9842,11131" to="984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28wgAAANsAAAAPAAAAZHJzL2Rvd25yZXYueG1sRE/LagIx&#10;FN0X/IdwBXc1Y5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BoZH28wgAAANsAAAAPAAAA&#10;AAAAAAAAAAAAAAcCAABkcnMvZG93bnJldi54bWxQSwUGAAAAAAMAAwC3AAAA9gIAAAAA&#10;" strokeweight="0"/>
                <v:line id="Line 40" o:spid="_x0000_s1063" style="position:absolute;flip:y;visibility:visible;mso-wrap-style:square" from="12147,11131" to="1214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NgnxQAAANsAAAAPAAAAZHJzL2Rvd25yZXYueG1sRI9BawIx&#10;FITvQv9DeIXeNKuU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AHKNgnxQAAANsAAAAP&#10;AAAAAAAAAAAAAAAAAAcCAABkcnMvZG93bnJldi54bWxQSwUGAAAAAAMAAwC3AAAA+QIAAAAA&#10;" strokeweight="0"/>
                <v:line id="Line 41" o:spid="_x0000_s1064" style="position:absolute;flip:y;visibility:visible;mso-wrap-style:square" from="14452,11131" to="1445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ZQ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D3+kZQxQAAANsAAAAP&#10;AAAAAAAAAAAAAAAAAAcCAABkcnMvZG93bnJldi54bWxQSwUGAAAAAAMAAwC3AAAA+QIAAAAA&#10;" strokeweight="0"/>
                <v:line id="Line 42" o:spid="_x0000_s1065" style="position:absolute;flip:y;visibility:visible;mso-wrap-style:square" from="16802,11131" to="1680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PLxgAAANsAAAAPAAAAZHJzL2Rvd25yZXYueG1sRI9BawIx&#10;FITvBf9DeAVvNVsr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mLbjy8YAAADbAAAA&#10;DwAAAAAAAAAAAAAAAAAHAgAAZHJzL2Rvd25yZXYueG1sUEsFBgAAAAADAAMAtwAAAPoCAAAAAA==&#10;" strokeweight="0"/>
                <v:line id="Line 43" o:spid="_x0000_s1066" style="position:absolute;flip:y;visibility:visible;mso-wrap-style:square" from="19107,11131" to="1910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u/xQAAANsAAAAPAAAAZHJzL2Rvd25yZXYueG1sRI9PawIx&#10;FMTvBb9DeEJvNVuR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AXX3u/xQAAANsAAAAP&#10;AAAAAAAAAAAAAAAAAAcCAABkcnMvZG93bnJldi54bWxQSwUGAAAAAAMAAwC3AAAA+QIAAAAA&#10;" strokeweight="0"/>
                <v:line id="Line 44" o:spid="_x0000_s1067" style="position:absolute;flip:y;visibility:visible;mso-wrap-style:square" from="21412,11131" to="2141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94kxgAAANsAAAAPAAAAZHJzL2Rvd25yZXYueG1sRI9BawIx&#10;FITvBf9DeAVvNVup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eBPeJMYAAADbAAAA&#10;DwAAAAAAAAAAAAAAAAAHAgAAZHJzL2Rvd25yZXYueG1sUEsFBgAAAAADAAMAtwAAAPoCAAAAAA==&#10;" strokeweight="0"/>
                <v:line id="Line 45" o:spid="_x0000_s1068" style="position:absolute;flip:y;visibility:visible;mso-wrap-style:square" from="23717,11131" to="2371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line id="Line 46" o:spid="_x0000_s1069" style="position:absolute;flip:y;visibility:visible;mso-wrap-style:square" from="26022,11131" to="2602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XI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DnjeXIxQAAANsAAAAP&#10;AAAAAAAAAAAAAAAAAAcCAABkcnMvZG93bnJldi54bWxQSwUGAAAAAAMAAwC3AAAA+QIAAAAA&#10;" strokeweight="0"/>
                <v:line id="Line 47" o:spid="_x0000_s1070" style="position:absolute;flip:y;visibility:visible;mso-wrap-style:square" from="28327,11131" to="2832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6wgAAANsAAAAPAAAAZHJzL2Rvd25yZXYueG1sRE/LagIx&#10;FN0X/IdwBXc1Y5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CWEnG6wgAAANsAAAAPAAAA&#10;AAAAAAAAAAAAAAcCAABkcnMvZG93bnJldi54bWxQSwUGAAAAAAMAAwC3AAAA9gIAAAAA&#10;" strokeweight="0"/>
                <v:rect id="Rectangle 49" o:spid="_x0000_s1071" style="position:absolute;left:7588;top:863;width:1833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7B7906" w:rsidRDefault="007B7906" w:rsidP="007B7906">
                        <w:r w:rsidRPr="007A007B">
                          <w:rPr>
                            <w:b/>
                            <w:color w:val="000000"/>
                            <w:sz w:val="12"/>
                          </w:rPr>
                          <w:t xml:space="preserve">Performances passées du </w:t>
                        </w:r>
                        <w:r w:rsidRPr="007A007B">
                          <w:rPr>
                            <w:rFonts w:cs="Arial"/>
                            <w:b/>
                            <w:bCs/>
                            <w:color w:val="000000"/>
                            <w:sz w:val="12"/>
                            <w:szCs w:val="12"/>
                          </w:rPr>
                          <w:t>fonds d’épargne salariale</w:t>
                        </w:r>
                        <w:r w:rsidRPr="007A007B">
                          <w:rPr>
                            <w:b/>
                            <w:color w:val="000000"/>
                            <w:sz w:val="12"/>
                          </w:rPr>
                          <w:t xml:space="preserve"> XYZ</w:t>
                        </w:r>
                      </w:p>
                    </w:txbxContent>
                  </v:textbox>
                </v:rect>
                <v:rect id="Rectangle 50" o:spid="_x0000_s1072" style="position:absolute;left:12528;top:7677;width:1403;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7B7906" w:rsidRDefault="007B7906" w:rsidP="007B7906">
                        <w:r>
                          <w:rPr>
                            <w:rFonts w:cs="Arial"/>
                            <w:b/>
                            <w:bCs/>
                            <w:color w:val="000000"/>
                            <w:sz w:val="8"/>
                            <w:szCs w:val="8"/>
                            <w:lang w:val="en-US"/>
                          </w:rPr>
                          <w:t>12,8%</w:t>
                        </w:r>
                      </w:p>
                    </w:txbxContent>
                  </v:textbox>
                </v:rect>
                <v:rect id="Rectangle 51" o:spid="_x0000_s1073" style="position:absolute;left:14789;top:16459;width:1568;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7B7906" w:rsidRDefault="007B7906" w:rsidP="007B7906">
                        <w:r>
                          <w:rPr>
                            <w:rFonts w:cs="Arial"/>
                            <w:b/>
                            <w:bCs/>
                            <w:color w:val="000000"/>
                            <w:sz w:val="8"/>
                            <w:szCs w:val="8"/>
                            <w:lang w:val="en-US"/>
                          </w:rPr>
                          <w:t>-25,2%</w:t>
                        </w:r>
                      </w:p>
                    </w:txbxContent>
                  </v:textbox>
                </v:rect>
                <v:rect id="Rectangle 52" o:spid="_x0000_s1074" style="position:absolute;left:17329;top:12668;width:131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7B7906" w:rsidRDefault="007B7906" w:rsidP="007B7906">
                        <w:r>
                          <w:rPr>
                            <w:rFonts w:cs="Arial"/>
                            <w:b/>
                            <w:bCs/>
                            <w:color w:val="000000"/>
                            <w:sz w:val="8"/>
                            <w:szCs w:val="8"/>
                            <w:lang w:val="en-US"/>
                          </w:rPr>
                          <w:t>-6,3%</w:t>
                        </w:r>
                      </w:p>
                    </w:txbxContent>
                  </v:textbox>
                </v:rect>
                <v:rect id="Rectangle 53" o:spid="_x0000_s1075" style="position:absolute;left:19729;top:9067;width:1149;height: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7B7906" w:rsidRDefault="007B7906" w:rsidP="007B7906">
                        <w:r>
                          <w:rPr>
                            <w:rFonts w:cs="Arial"/>
                            <w:b/>
                            <w:bCs/>
                            <w:color w:val="000000"/>
                            <w:sz w:val="8"/>
                            <w:szCs w:val="8"/>
                            <w:lang w:val="en-US"/>
                          </w:rPr>
                          <w:t>5,6%</w:t>
                        </w:r>
                      </w:p>
                    </w:txbxContent>
                  </v:textbox>
                </v:rect>
                <v:rect id="Rectangle 54" o:spid="_x0000_s1076" style="position:absolute;left:3505;top:9118;width:1149;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7B7906" w:rsidRDefault="007B7906" w:rsidP="007B7906">
                        <w:r>
                          <w:rPr>
                            <w:rFonts w:cs="Arial"/>
                            <w:b/>
                            <w:bCs/>
                            <w:color w:val="000000"/>
                            <w:sz w:val="8"/>
                            <w:szCs w:val="8"/>
                            <w:lang w:val="en-US"/>
                          </w:rPr>
                          <w:t>5,1%</w:t>
                        </w:r>
                      </w:p>
                    </w:txbxContent>
                  </v:textbox>
                </v:rect>
                <v:rect id="Rectangle 55" o:spid="_x0000_s1077" style="position:absolute;left:5664;top:11995;width:131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7B7906" w:rsidRDefault="007B7906" w:rsidP="007B7906">
                        <w:r>
                          <w:rPr>
                            <w:rFonts w:cs="Arial"/>
                            <w:b/>
                            <w:bCs/>
                            <w:color w:val="000000"/>
                            <w:sz w:val="8"/>
                            <w:szCs w:val="8"/>
                            <w:lang w:val="en-US"/>
                          </w:rPr>
                          <w:t>-4,2%</w:t>
                        </w:r>
                      </w:p>
                    </w:txbxContent>
                  </v:textbox>
                </v:rect>
                <v:rect id="Rectangle 56" o:spid="_x0000_s1078" style="position:absolute;left:8020;top:8496;width:1149;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7B7906" w:rsidRDefault="007B7906" w:rsidP="007B7906">
                        <w:r>
                          <w:rPr>
                            <w:rFonts w:cs="Arial"/>
                            <w:b/>
                            <w:bCs/>
                            <w:color w:val="000000"/>
                            <w:sz w:val="8"/>
                            <w:szCs w:val="8"/>
                            <w:lang w:val="en-US"/>
                          </w:rPr>
                          <w:t>8,5%</w:t>
                        </w:r>
                      </w:p>
                    </w:txbxContent>
                  </v:textbox>
                </v:rect>
                <v:rect id="Rectangle 57" o:spid="_x0000_s1079" style="position:absolute;left:10274;top:5899;width:1403;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7B7906" w:rsidRDefault="007B7906" w:rsidP="007B7906">
                        <w:r>
                          <w:rPr>
                            <w:rFonts w:cs="Arial"/>
                            <w:b/>
                            <w:bCs/>
                            <w:color w:val="000000"/>
                            <w:sz w:val="8"/>
                            <w:szCs w:val="8"/>
                            <w:lang w:val="en-US"/>
                          </w:rPr>
                          <w:t>20,4%</w:t>
                        </w:r>
                      </w:p>
                    </w:txbxContent>
                  </v:textbox>
                </v:rect>
                <v:rect id="Rectangle 58" o:spid="_x0000_s1080" style="position:absolute;left:21939;top:9690;width:1149;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7B7906" w:rsidRDefault="007B7906" w:rsidP="007B7906">
                        <w:r>
                          <w:rPr>
                            <w:rFonts w:cs="Arial"/>
                            <w:b/>
                            <w:bCs/>
                            <w:color w:val="000000"/>
                            <w:sz w:val="8"/>
                            <w:szCs w:val="8"/>
                            <w:lang w:val="en-US"/>
                          </w:rPr>
                          <w:t>3,3%</w:t>
                        </w:r>
                      </w:p>
                    </w:txbxContent>
                  </v:textbox>
                </v:rect>
                <v:rect id="Rectangle 59" o:spid="_x0000_s1081" style="position:absolute;left:24053;top:6432;width:140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7B7906" w:rsidRDefault="007B7906" w:rsidP="007B7906">
                        <w:r>
                          <w:rPr>
                            <w:rFonts w:cs="Arial"/>
                            <w:b/>
                            <w:bCs/>
                            <w:color w:val="000000"/>
                            <w:sz w:val="8"/>
                            <w:szCs w:val="8"/>
                            <w:lang w:val="en-US"/>
                          </w:rPr>
                          <w:t>17,2%</w:t>
                        </w:r>
                      </w:p>
                    </w:txbxContent>
                  </v:textbox>
                </v:rect>
                <v:rect id="Rectangle 60" o:spid="_x0000_s1082" style="position:absolute;left:26308;top:3790;width:1403;height: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7B7906" w:rsidRDefault="007B7906" w:rsidP="007B7906">
                        <w:r>
                          <w:rPr>
                            <w:rFonts w:cs="Arial"/>
                            <w:b/>
                            <w:bCs/>
                            <w:color w:val="000000"/>
                            <w:sz w:val="8"/>
                            <w:szCs w:val="8"/>
                            <w:lang w:val="en-US"/>
                          </w:rPr>
                          <w:t>30,9%</w:t>
                        </w:r>
                      </w:p>
                    </w:txbxContent>
                  </v:textbox>
                </v:rect>
                <v:rect id="Rectangle 61" o:spid="_x0000_s1083" style="position:absolute;left:914;top:16840;width:1568;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7B7906" w:rsidRDefault="007B7906" w:rsidP="007B7906">
                        <w:r>
                          <w:rPr>
                            <w:rFonts w:cs="Arial"/>
                            <w:b/>
                            <w:bCs/>
                            <w:color w:val="000000"/>
                            <w:sz w:val="8"/>
                            <w:szCs w:val="8"/>
                            <w:lang w:val="en-US"/>
                          </w:rPr>
                          <w:t>-30,0%</w:t>
                        </w:r>
                      </w:p>
                    </w:txbxContent>
                  </v:textbox>
                </v:rect>
                <v:rect id="Rectangle 62" o:spid="_x0000_s1084" style="position:absolute;left:914;top:14827;width:1568;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7B7906" w:rsidRDefault="007B7906" w:rsidP="007B7906">
                        <w:r>
                          <w:rPr>
                            <w:rFonts w:cs="Arial"/>
                            <w:b/>
                            <w:bCs/>
                            <w:color w:val="000000"/>
                            <w:sz w:val="8"/>
                            <w:szCs w:val="8"/>
                            <w:lang w:val="en-US"/>
                          </w:rPr>
                          <w:t>-20,0%</w:t>
                        </w:r>
                      </w:p>
                    </w:txbxContent>
                  </v:textbox>
                </v:rect>
                <v:rect id="Rectangle 63" o:spid="_x0000_s1085" style="position:absolute;left:914;top:12814;width:1568;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7B7906" w:rsidRDefault="007B7906" w:rsidP="007B7906">
                        <w:r>
                          <w:rPr>
                            <w:rFonts w:cs="Arial"/>
                            <w:b/>
                            <w:bCs/>
                            <w:color w:val="000000"/>
                            <w:sz w:val="8"/>
                            <w:szCs w:val="8"/>
                            <w:lang w:val="en-US"/>
                          </w:rPr>
                          <w:t>-10,0%</w:t>
                        </w:r>
                      </w:p>
                    </w:txbxContent>
                  </v:textbox>
                </v:rect>
                <v:rect id="Rectangle 64" o:spid="_x0000_s1086" style="position:absolute;left:1390;top:10795;width:1150;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7B7906" w:rsidRDefault="007B7906" w:rsidP="007B7906">
                        <w:r>
                          <w:rPr>
                            <w:rFonts w:cs="Arial"/>
                            <w:b/>
                            <w:bCs/>
                            <w:color w:val="000000"/>
                            <w:sz w:val="8"/>
                            <w:szCs w:val="8"/>
                            <w:lang w:val="en-US"/>
                          </w:rPr>
                          <w:t>0,0%</w:t>
                        </w:r>
                      </w:p>
                    </w:txbxContent>
                  </v:textbox>
                </v:rect>
                <v:rect id="Rectangle 65" o:spid="_x0000_s1087" style="position:absolute;left:1104;top:8731;width:140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7B7906" w:rsidRDefault="007B7906" w:rsidP="007B7906">
                        <w:r>
                          <w:rPr>
                            <w:rFonts w:cs="Arial"/>
                            <w:b/>
                            <w:bCs/>
                            <w:color w:val="000000"/>
                            <w:sz w:val="8"/>
                            <w:szCs w:val="8"/>
                            <w:lang w:val="en-US"/>
                          </w:rPr>
                          <w:t>10,0%</w:t>
                        </w:r>
                      </w:p>
                    </w:txbxContent>
                  </v:textbox>
                </v:rect>
                <v:rect id="Rectangle 66" o:spid="_x0000_s1088" style="position:absolute;left:1104;top:6718;width:140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7B7906" w:rsidRDefault="007B7906" w:rsidP="007B7906">
                        <w:r>
                          <w:rPr>
                            <w:rFonts w:cs="Arial"/>
                            <w:b/>
                            <w:bCs/>
                            <w:color w:val="000000"/>
                            <w:sz w:val="8"/>
                            <w:szCs w:val="8"/>
                            <w:lang w:val="en-US"/>
                          </w:rPr>
                          <w:t>20,0%</w:t>
                        </w:r>
                      </w:p>
                    </w:txbxContent>
                  </v:textbox>
                </v:rect>
                <v:rect id="Rectangle 67" o:spid="_x0000_s1089" style="position:absolute;left:1104;top:4705;width:140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7B7906" w:rsidRDefault="007B7906" w:rsidP="007B7906">
                        <w:r>
                          <w:rPr>
                            <w:rFonts w:cs="Arial"/>
                            <w:b/>
                            <w:bCs/>
                            <w:color w:val="000000"/>
                            <w:sz w:val="8"/>
                            <w:szCs w:val="8"/>
                            <w:lang w:val="en-US"/>
                          </w:rPr>
                          <w:t>30,0%</w:t>
                        </w:r>
                      </w:p>
                    </w:txbxContent>
                  </v:textbox>
                </v:rect>
                <v:rect id="Rectangle 68" o:spid="_x0000_s1090" style="position:absolute;left:1104;top:2686;width:140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7B7906" w:rsidRDefault="007B7906" w:rsidP="007B7906">
                        <w:r>
                          <w:rPr>
                            <w:rFonts w:cs="Arial"/>
                            <w:b/>
                            <w:bCs/>
                            <w:color w:val="000000"/>
                            <w:sz w:val="8"/>
                            <w:szCs w:val="8"/>
                            <w:lang w:val="en-US"/>
                          </w:rPr>
                          <w:t>40,0%</w:t>
                        </w:r>
                      </w:p>
                    </w:txbxContent>
                  </v:textbox>
                </v:rect>
                <v:rect id="Rectangle 69" o:spid="_x0000_s1091" style="position:absolute;left:3505;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7B7906" w:rsidRDefault="007B7906" w:rsidP="007B7906">
                        <w:r>
                          <w:rPr>
                            <w:rFonts w:cs="Arial"/>
                            <w:b/>
                            <w:bCs/>
                            <w:color w:val="000000"/>
                            <w:sz w:val="8"/>
                            <w:szCs w:val="8"/>
                            <w:lang w:val="en-US"/>
                          </w:rPr>
                          <w:t>1999</w:t>
                        </w:r>
                      </w:p>
                    </w:txbxContent>
                  </v:textbox>
                </v:rect>
                <v:rect id="Rectangle 70" o:spid="_x0000_s1092" style="position:absolute;left:5810;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7B7906" w:rsidRDefault="007B7906" w:rsidP="007B7906">
                        <w:r>
                          <w:rPr>
                            <w:rFonts w:cs="Arial"/>
                            <w:b/>
                            <w:bCs/>
                            <w:color w:val="000000"/>
                            <w:sz w:val="8"/>
                            <w:szCs w:val="8"/>
                            <w:lang w:val="en-US"/>
                          </w:rPr>
                          <w:t>2000</w:t>
                        </w:r>
                      </w:p>
                    </w:txbxContent>
                  </v:textbox>
                </v:rect>
                <v:rect id="Rectangle 71" o:spid="_x0000_s1093" style="position:absolute;left:8115;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7B7906" w:rsidRDefault="007B7906" w:rsidP="007B7906">
                        <w:r>
                          <w:rPr>
                            <w:rFonts w:cs="Arial"/>
                            <w:b/>
                            <w:bCs/>
                            <w:color w:val="000000"/>
                            <w:sz w:val="8"/>
                            <w:szCs w:val="8"/>
                            <w:lang w:val="en-US"/>
                          </w:rPr>
                          <w:t>2001</w:t>
                        </w:r>
                      </w:p>
                    </w:txbxContent>
                  </v:textbox>
                </v:rect>
                <v:rect id="Rectangle 72" o:spid="_x0000_s1094" style="position:absolute;left:10420;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7B7906" w:rsidRDefault="007B7906" w:rsidP="007B7906">
                        <w:r>
                          <w:rPr>
                            <w:rFonts w:cs="Arial"/>
                            <w:b/>
                            <w:bCs/>
                            <w:color w:val="000000"/>
                            <w:sz w:val="8"/>
                            <w:szCs w:val="8"/>
                            <w:lang w:val="en-US"/>
                          </w:rPr>
                          <w:t>2002</w:t>
                        </w:r>
                      </w:p>
                    </w:txbxContent>
                  </v:textbox>
                </v:rect>
                <v:rect id="Rectangle 73" o:spid="_x0000_s1095" style="position:absolute;left:12725;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7B7906" w:rsidRDefault="007B7906" w:rsidP="007B7906">
                        <w:r>
                          <w:rPr>
                            <w:rFonts w:cs="Arial"/>
                            <w:b/>
                            <w:bCs/>
                            <w:color w:val="000000"/>
                            <w:sz w:val="8"/>
                            <w:szCs w:val="8"/>
                            <w:lang w:val="en-US"/>
                          </w:rPr>
                          <w:t>2003</w:t>
                        </w:r>
                      </w:p>
                    </w:txbxContent>
                  </v:textbox>
                </v:rect>
                <v:rect id="Rectangle 74" o:spid="_x0000_s1096" style="position:absolute;left:15074;top:17608;width:1023;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7B7906" w:rsidRDefault="007B7906" w:rsidP="007B7906">
                        <w:r>
                          <w:rPr>
                            <w:rFonts w:cs="Arial"/>
                            <w:b/>
                            <w:bCs/>
                            <w:color w:val="000000"/>
                            <w:sz w:val="8"/>
                            <w:szCs w:val="8"/>
                            <w:lang w:val="en-US"/>
                          </w:rPr>
                          <w:t>2004</w:t>
                        </w:r>
                      </w:p>
                    </w:txbxContent>
                  </v:textbox>
                </v:rect>
                <v:rect id="Rectangle 75" o:spid="_x0000_s1097" style="position:absolute;left:17379;top:17608;width:1023;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7B7906" w:rsidRDefault="007B7906" w:rsidP="007B7906">
                        <w:r>
                          <w:rPr>
                            <w:rFonts w:cs="Arial"/>
                            <w:b/>
                            <w:bCs/>
                            <w:color w:val="000000"/>
                            <w:sz w:val="8"/>
                            <w:szCs w:val="8"/>
                            <w:lang w:val="en-US"/>
                          </w:rPr>
                          <w:t>2005</w:t>
                        </w:r>
                      </w:p>
                    </w:txbxContent>
                  </v:textbox>
                </v:rect>
                <v:rect id="Rectangle 76" o:spid="_x0000_s1098" style="position:absolute;left:19685;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7B7906" w:rsidRDefault="007B7906" w:rsidP="007B7906">
                        <w:r>
                          <w:rPr>
                            <w:rFonts w:cs="Arial"/>
                            <w:b/>
                            <w:bCs/>
                            <w:color w:val="000000"/>
                            <w:sz w:val="8"/>
                            <w:szCs w:val="8"/>
                            <w:lang w:val="en-US"/>
                          </w:rPr>
                          <w:t>2006</w:t>
                        </w:r>
                      </w:p>
                    </w:txbxContent>
                  </v:textbox>
                </v:rect>
                <v:rect id="Rectangle 77" o:spid="_x0000_s1099" style="position:absolute;left:21990;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7B7906" w:rsidRDefault="007B7906" w:rsidP="007B7906">
                        <w:r>
                          <w:rPr>
                            <w:rFonts w:cs="Arial"/>
                            <w:b/>
                            <w:bCs/>
                            <w:color w:val="000000"/>
                            <w:sz w:val="8"/>
                            <w:szCs w:val="8"/>
                            <w:lang w:val="en-US"/>
                          </w:rPr>
                          <w:t>2007</w:t>
                        </w:r>
                      </w:p>
                    </w:txbxContent>
                  </v:textbox>
                </v:rect>
                <v:rect id="Rectangle 78" o:spid="_x0000_s1100" style="position:absolute;left:24295;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7B7906" w:rsidRDefault="007B7906" w:rsidP="007B7906">
                        <w:r>
                          <w:rPr>
                            <w:rFonts w:cs="Arial"/>
                            <w:b/>
                            <w:bCs/>
                            <w:color w:val="000000"/>
                            <w:sz w:val="8"/>
                            <w:szCs w:val="8"/>
                            <w:lang w:val="en-US"/>
                          </w:rPr>
                          <w:t>2008</w:t>
                        </w:r>
                      </w:p>
                    </w:txbxContent>
                  </v:textbox>
                </v:rect>
                <v:rect id="Rectangle 79" o:spid="_x0000_s1101" style="position:absolute;left:26600;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7B7906" w:rsidRDefault="007B7906" w:rsidP="007B7906">
                        <w:r>
                          <w:rPr>
                            <w:rFonts w:cs="Arial"/>
                            <w:b/>
                            <w:bCs/>
                            <w:color w:val="000000"/>
                            <w:sz w:val="8"/>
                            <w:szCs w:val="8"/>
                            <w:lang w:val="en-US"/>
                          </w:rPr>
                          <w:t>2009</w:t>
                        </w:r>
                      </w:p>
                    </w:txbxContent>
                  </v:textbox>
                </v:rect>
                <v:rect id="Rectangle 80" o:spid="_x0000_s1102" style="position:absolute;left:20885;top:15786;width:6915;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" strokeweight="0"/>
                <v:rect id="Rectangle 81" o:spid="_x0000_s1103" style="position:absolute;left:21126;top:16173;width:33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" fillcolor="#99f" strokeweight="22e-5mm"/>
                <v:rect id="Rectangle 82" o:spid="_x0000_s1104" style="position:absolute;left:21653;top:15932;width:5556;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7B7906" w:rsidRDefault="007B7906" w:rsidP="007B7906">
                        <w:r>
                          <w:rPr>
                            <w:rFonts w:cs="Arial"/>
                            <w:color w:val="000000"/>
                            <w:sz w:val="10"/>
                            <w:szCs w:val="10"/>
                            <w:lang w:val="en-US"/>
                          </w:rPr>
                          <w:t>Performance annuelle</w:t>
                        </w:r>
                      </w:p>
                    </w:txbxContent>
                  </v:textbox>
                </v:rect>
                <v:rect id="Rectangle 83" o:spid="_x0000_s1105" style="position:absolute;left:241;top:241;width:29191;height:18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" filled="f" strokeweight="0"/>
                <v:shape id="Freeform 83" o:spid="_x0000_s1106" style="position:absolute;left:3003;top:5543;width:381;height:4604;visibility:visible;mso-wrap-style:square;v-text-anchor:top" coordsize="6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" path="m35,r,692l25,692,25,,35,xm60,665l30,725,,665r60,xe" fillcolor="black" strokeweight="22e-5mm">
                  <v:stroke joinstyle="bevel"/>
                  <v:path arrowok="t" o:connecttype="custom" o:connectlocs="22225,0;22225,439420;15875,439420;15875,0;22225,0;38100,422275;19050,460375;0,422275;38100,422275" o:connectangles="0,0,0,0,0,0,0,0,0"/>
                  <o:lock v:ext="edit" verticies="t"/>
                </v:shape>
                <v:shape id="Freeform 84" o:spid="_x0000_s1107" style="position:absolute;left:11836;top:5543;width:381;height:4604;visibility:visible;mso-wrap-style:square;v-text-anchor:top" coordsize="6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" path="m35,r,692l25,692,25,,35,xm60,665l30,725,,665r60,xe" fillcolor="black" strokeweight="22e-5mm">
                  <v:stroke joinstyle="bevel"/>
                  <v:path arrowok="t" o:connecttype="custom" o:connectlocs="22225,0;22225,439420;15875,439420;15875,0;22225,0;38100,422275;19050,460375;0,422275;38100,422275" o:connectangles="0,0,0,0,0,0,0,0,0"/>
                  <o:lock v:ext="edit" verticies="t"/>
                </v:shape>
                <v:line id="Line 85" o:spid="_x0000_s1108" style="position:absolute;visibility:visible;mso-wrap-style:square" from="3194,5543" to="12026,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" strokeweight="28e-5mm"/>
                <v:rect id="Rectangle 87" o:spid="_x0000_s1109" style="position:absolute;left:3600;top:3740;width:6356;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7B7906" w:rsidRDefault="007B7906" w:rsidP="007B7906">
                        <w:r w:rsidRPr="007A007B">
                          <w:rPr>
                            <w:rFonts w:ascii="Small Fonts" w:hAnsi="Small Fonts" w:cs="Small Fonts"/>
                            <w:color w:val="000000"/>
                            <w:sz w:val="6"/>
                            <w:szCs w:val="6"/>
                          </w:rPr>
                          <w:t xml:space="preserve">Durant cette période, </w:t>
                        </w:r>
                        <w:r>
                          <w:rPr>
                            <w:rFonts w:ascii="Small Fonts" w:hAnsi="Small Fonts" w:cs="Small Fonts"/>
                            <w:color w:val="000000"/>
                            <w:sz w:val="6"/>
                            <w:szCs w:val="6"/>
                          </w:rPr>
                          <w:t>le FIA</w:t>
                        </w:r>
                        <w:r w:rsidRPr="007A007B">
                          <w:rPr>
                            <w:rFonts w:ascii="Small Fonts" w:hAnsi="Small Fonts" w:cs="Small Fonts"/>
                            <w:color w:val="000000"/>
                            <w:sz w:val="6"/>
                            <w:szCs w:val="6"/>
                          </w:rPr>
                          <w:t xml:space="preserve"> était géré </w:t>
                        </w:r>
                      </w:p>
                    </w:txbxContent>
                  </v:textbox>
                </v:rect>
                <v:rect id="Rectangle 88" o:spid="_x0000_s1110" style="position:absolute;left:3600;top:4318;width:7353;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7B7906" w:rsidRDefault="007B7906" w:rsidP="007B7906">
                        <w:r w:rsidRPr="007A007B">
                          <w:rPr>
                            <w:rFonts w:ascii="Small Fonts" w:hAnsi="Small Fonts" w:cs="Small Fonts"/>
                            <w:color w:val="000000"/>
                            <w:sz w:val="6"/>
                            <w:szCs w:val="6"/>
                          </w:rPr>
                          <w:t>de manière différente. Cf notre site internet.</w:t>
                        </w:r>
                      </w:p>
                    </w:txbxContent>
                  </v:textbox>
                </v:rect>
                <w10:anchorlock/>
              </v:group>
            </w:pict>
          </mc:Fallback>
        </mc:AlternateConten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sz w:val="18"/>
          <w:szCs w:val="18"/>
        </w:rPr>
      </w:pPr>
      <w:r w:rsidRPr="007A0DC8">
        <w:rPr>
          <w:rFonts w:asciiTheme="minorHAnsi" w:hAnsiTheme="minorHAnsi" w:cstheme="minorHAnsi"/>
          <w:color w:val="auto"/>
          <w:sz w:val="18"/>
          <w:szCs w:val="18"/>
        </w:rPr>
        <w:t>Le graphique est complété par les mentions suivantes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avertissement sur la valeur limitée comme indicateur des performances futures ;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précision sur les charges qui ont été inclues et/ou exclues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année de création du fonds d’épargne salariale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précision de la monnaie dans laquelle les performances passées ont été évaluées.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b/>
          <w:color w:val="auto"/>
          <w:sz w:val="18"/>
          <w:szCs w:val="18"/>
        </w:rPr>
      </w:pPr>
      <w:r w:rsidRPr="007A0DC8">
        <w:rPr>
          <w:rFonts w:asciiTheme="minorHAnsi" w:hAnsiTheme="minorHAnsi" w:cstheme="minorHAnsi"/>
          <w:b/>
          <w:color w:val="auto"/>
          <w:sz w:val="18"/>
          <w:szCs w:val="18"/>
        </w:rPr>
        <w:t xml:space="preserve">Informations pratiques :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nom du dépositaire : à compléter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teneur de compte : à compléter</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forme juridique : fonds d’épargne salariale individualisé/fonds d’épargne salariale individualisé de groupe/fonds d’épargne salariale multi-entreprises</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Mention facultative pour les fonds d’actionnariat salarié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 Ce FCPE est créé dans le cadre du plan d’épargne de la société [à compléter] (ou du groupe) [à compléter] dont il fait partie et est indissociable. Il est réservé exclusivement aux salariés et aux bénéficiaires de l’offre d’actionnariat de l’émetteur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lieu et modalités d’obtention d’information sur le fonds d’épargne salariale (prospectus /rapport annuel/document semestriel)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lieu et modalités d’obtention d’autres informations pratiques notamment la valeur liquidative :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fiscalité (si pertinent)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préciser que </w:t>
      </w:r>
      <w:r w:rsidRPr="007A0DC8">
        <w:rPr>
          <w:rFonts w:asciiTheme="minorHAnsi" w:hAnsiTheme="minorHAnsi" w:cstheme="minorHAnsi"/>
          <w:iCs/>
          <w:color w:val="auto"/>
          <w:sz w:val="18"/>
          <w:szCs w:val="18"/>
        </w:rPr>
        <w:t>«</w:t>
      </w:r>
      <w:r w:rsidR="00C44D28">
        <w:rPr>
          <w:rFonts w:asciiTheme="minorHAnsi" w:hAnsiTheme="minorHAnsi" w:cstheme="minorHAnsi"/>
          <w:iCs/>
          <w:color w:val="auto"/>
          <w:sz w:val="18"/>
          <w:szCs w:val="18"/>
        </w:rPr>
        <w:t xml:space="preserve"> </w:t>
      </w:r>
      <w:r w:rsidRPr="007A0DC8">
        <w:rPr>
          <w:rFonts w:asciiTheme="minorHAnsi" w:hAnsiTheme="minorHAnsi" w:cstheme="minorHAnsi"/>
          <w:iCs/>
          <w:color w:val="auto"/>
          <w:sz w:val="18"/>
          <w:szCs w:val="18"/>
        </w:rPr>
        <w:t>La</w:t>
      </w:r>
      <w:r w:rsidR="00C44D28">
        <w:rPr>
          <w:rFonts w:asciiTheme="minorHAnsi" w:hAnsiTheme="minorHAnsi" w:cstheme="minorHAnsi"/>
          <w:iCs/>
          <w:color w:val="auto"/>
          <w:sz w:val="18"/>
          <w:szCs w:val="18"/>
        </w:rPr>
        <w:t xml:space="preserve"> </w:t>
      </w:r>
      <w:r w:rsidRPr="007A0DC8">
        <w:rPr>
          <w:rFonts w:asciiTheme="minorHAnsi" w:hAnsiTheme="minorHAnsi" w:cstheme="minorHAnsi"/>
          <w:iCs/>
          <w:color w:val="auto"/>
          <w:sz w:val="18"/>
          <w:szCs w:val="18"/>
        </w:rPr>
        <w:t xml:space="preserve">responsabilité de [insérer le nom de la société de gestion] ne peut être engagée que sur la base de déclarations contenues dans le présent document qui seraient trompeuses, inexactes ou non cohérentes avec les parties correspondantes du prospectus du </w:t>
      </w:r>
      <w:r w:rsidRPr="007A0DC8">
        <w:rPr>
          <w:rFonts w:asciiTheme="minorHAnsi" w:hAnsiTheme="minorHAnsi" w:cstheme="minorHAnsi"/>
          <w:color w:val="auto"/>
          <w:sz w:val="18"/>
          <w:szCs w:val="18"/>
        </w:rPr>
        <w:t>fonds d’épargne salariale</w:t>
      </w:r>
      <w:r w:rsidR="00C44D28">
        <w:rPr>
          <w:rFonts w:asciiTheme="minorHAnsi" w:hAnsiTheme="minorHAnsi" w:cstheme="minorHAnsi"/>
          <w:iCs/>
          <w:color w:val="auto"/>
          <w:sz w:val="18"/>
          <w:szCs w:val="18"/>
        </w:rPr>
        <w:t xml:space="preserve"> </w:t>
      </w:r>
      <w:r w:rsidRPr="007A0DC8">
        <w:rPr>
          <w:rFonts w:asciiTheme="minorHAnsi" w:hAnsiTheme="minorHAnsi" w:cstheme="minorHAnsi"/>
          <w:iCs/>
          <w:color w:val="auto"/>
          <w:sz w:val="18"/>
          <w:szCs w:val="18"/>
        </w:rPr>
        <w:t>»</w:t>
      </w:r>
      <w:r w:rsidR="00C44D28">
        <w:rPr>
          <w:rFonts w:asciiTheme="minorHAnsi" w:hAnsiTheme="minorHAnsi" w:cstheme="minorHAnsi"/>
          <w:color w:val="auto"/>
          <w:sz w:val="18"/>
          <w:szCs w:val="18"/>
        </w:rPr>
        <w:t>.</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Information sur le fait que la législation fiscale dans le pays d’origine du fonds d’épargne salariale pourrait avoir un impact sur les investisseurs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lieu et modalités d’obtention d’information sur le fonds d’épargne salariale (prospectus /rapport annuel/document semestriel) si le fonds d’épargne salariale est un compartiment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lieu et modalités d’obtention d’information sur les autres catégories de parts ou d’actions (si ce DICI représente plusieurs catégories de parts ou actions) :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7A0DC8">
        <w:rPr>
          <w:rFonts w:asciiTheme="minorHAnsi" w:hAnsiTheme="minorHAnsi" w:cstheme="minorHAnsi"/>
          <w:iCs/>
          <w:color w:val="auto"/>
          <w:sz w:val="18"/>
          <w:szCs w:val="18"/>
        </w:rPr>
        <w:t xml:space="preserve">- rôle, composition et mode de désignation du Conseil de surveillance : à préciser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7A0DC8">
        <w:rPr>
          <w:rFonts w:asciiTheme="minorHAnsi" w:hAnsiTheme="minorHAnsi" w:cstheme="minorHAnsi"/>
          <w:iCs/>
          <w:color w:val="auto"/>
          <w:sz w:val="18"/>
          <w:szCs w:val="18"/>
        </w:rPr>
        <w:t xml:space="preserve">Préciser également la politique en matière de distribution des dividendes, le mode d’exercice des droits de vote attachés aux titres et les conditions d’accès aux informations périodique de la société pour les </w:t>
      </w:r>
      <w:r w:rsidRPr="007A0DC8">
        <w:rPr>
          <w:rFonts w:asciiTheme="minorHAnsi" w:hAnsiTheme="minorHAnsi" w:cstheme="minorHAnsi"/>
          <w:color w:val="auto"/>
          <w:sz w:val="18"/>
          <w:szCs w:val="18"/>
        </w:rPr>
        <w:t>fonds d’épargne salariale</w:t>
      </w:r>
      <w:r w:rsidRPr="007A0DC8">
        <w:rPr>
          <w:rFonts w:asciiTheme="minorHAnsi" w:hAnsiTheme="minorHAnsi" w:cstheme="minorHAnsi"/>
          <w:iCs/>
          <w:color w:val="auto"/>
          <w:sz w:val="18"/>
          <w:szCs w:val="18"/>
        </w:rPr>
        <w:t xml:space="preserve"> investis en titres de l’entreprise.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7A0DC8">
        <w:rPr>
          <w:rFonts w:asciiTheme="minorHAnsi" w:hAnsiTheme="minorHAnsi" w:cstheme="minorHAnsi"/>
          <w:iCs/>
          <w:color w:val="auto"/>
          <w:sz w:val="18"/>
          <w:szCs w:val="18"/>
        </w:rPr>
        <w:lastRenderedPageBreak/>
        <w:t xml:space="preserve">- méthodologie de valorisation des titres non cotés (le cas échéant) : à préciser pour les </w:t>
      </w:r>
      <w:r w:rsidRPr="007A0DC8">
        <w:rPr>
          <w:rFonts w:asciiTheme="minorHAnsi" w:hAnsiTheme="minorHAnsi" w:cstheme="minorHAnsi"/>
          <w:color w:val="auto"/>
          <w:sz w:val="18"/>
          <w:szCs w:val="18"/>
        </w:rPr>
        <w:t>fonds d’épargne salariale</w:t>
      </w:r>
      <w:r w:rsidRPr="007A0DC8">
        <w:rPr>
          <w:rFonts w:asciiTheme="minorHAnsi" w:hAnsiTheme="minorHAnsi" w:cstheme="minorHAnsi"/>
          <w:iCs/>
          <w:color w:val="auto"/>
          <w:sz w:val="18"/>
          <w:szCs w:val="18"/>
        </w:rPr>
        <w:t xml:space="preserve"> investis en titres non cotés de l’entreprise. La méthode de l’expert peut être annexée à ce document.</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7A0DC8">
        <w:rPr>
          <w:rFonts w:asciiTheme="minorHAnsi" w:hAnsiTheme="minorHAnsi" w:cstheme="minorHAnsi"/>
          <w:iCs/>
          <w:color w:val="auto"/>
          <w:sz w:val="18"/>
          <w:szCs w:val="18"/>
        </w:rPr>
        <w:t xml:space="preserve">- mécanisme de liquidité (le cas échéant) : à préciser pour les </w:t>
      </w:r>
      <w:r w:rsidRPr="007A0DC8">
        <w:rPr>
          <w:rFonts w:asciiTheme="minorHAnsi" w:hAnsiTheme="minorHAnsi" w:cstheme="minorHAnsi"/>
          <w:color w:val="auto"/>
          <w:sz w:val="18"/>
          <w:szCs w:val="18"/>
        </w:rPr>
        <w:t>fonds d’épargne salariale</w:t>
      </w:r>
      <w:r w:rsidRPr="007A0DC8">
        <w:rPr>
          <w:rFonts w:asciiTheme="minorHAnsi" w:hAnsiTheme="minorHAnsi" w:cstheme="minorHAnsi"/>
          <w:iCs/>
          <w:color w:val="auto"/>
          <w:sz w:val="18"/>
          <w:szCs w:val="18"/>
        </w:rPr>
        <w:t xml:space="preserve"> investis en titres non cotés de l’entreprise.</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iCs/>
          <w:color w:val="auto"/>
          <w:sz w:val="18"/>
          <w:szCs w:val="18"/>
        </w:rPr>
        <w:t xml:space="preserve">« La responsabilité de [insérer le nom de la société de gestion de portefeuille] ne peut être engagée que sur la base de déclarations contenues dans le présent document qui seraient trompeuses, inexactes ou non cohérentes avec les parties correspondantes du prospectus du </w:t>
      </w:r>
      <w:r w:rsidRPr="007A0DC8">
        <w:rPr>
          <w:rFonts w:asciiTheme="minorHAnsi" w:hAnsiTheme="minorHAnsi" w:cstheme="minorHAnsi"/>
          <w:color w:val="auto"/>
          <w:sz w:val="18"/>
          <w:szCs w:val="18"/>
        </w:rPr>
        <w:t>fonds d’épargne salariale</w:t>
      </w:r>
      <w:r w:rsidRPr="007A0DC8">
        <w:rPr>
          <w:rFonts w:asciiTheme="minorHAnsi" w:hAnsiTheme="minorHAnsi" w:cstheme="minorHAnsi"/>
          <w:iCs/>
          <w:color w:val="auto"/>
          <w:sz w:val="18"/>
          <w:szCs w:val="18"/>
        </w:rPr>
        <w:t>. »</w:t>
      </w:r>
      <w:r w:rsidRPr="007A0DC8">
        <w:rPr>
          <w:rFonts w:asciiTheme="minorHAnsi" w:hAnsiTheme="minorHAnsi" w:cstheme="minorHAnsi"/>
          <w:color w:val="auto"/>
          <w:sz w:val="18"/>
          <w:szCs w:val="18"/>
        </w:rPr>
        <w:t xml:space="preserve">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iCs/>
          <w:color w:val="auto"/>
          <w:sz w:val="18"/>
          <w:szCs w:val="18"/>
        </w:rPr>
        <w:t xml:space="preserve">« Ce </w:t>
      </w:r>
      <w:r w:rsidRPr="007A0DC8">
        <w:rPr>
          <w:rFonts w:asciiTheme="minorHAnsi" w:hAnsiTheme="minorHAnsi" w:cstheme="minorHAnsi"/>
          <w:color w:val="auto"/>
          <w:sz w:val="18"/>
          <w:szCs w:val="18"/>
        </w:rPr>
        <w:t xml:space="preserve">fonds d’épargne salariale </w:t>
      </w:r>
      <w:r w:rsidRPr="007A0DC8">
        <w:rPr>
          <w:rFonts w:asciiTheme="minorHAnsi" w:hAnsiTheme="minorHAnsi" w:cstheme="minorHAnsi"/>
          <w:iCs/>
          <w:color w:val="auto"/>
          <w:sz w:val="18"/>
          <w:szCs w:val="18"/>
        </w:rPr>
        <w:t>est agréé par l’AMF et réglementé par l’AMF.</w:t>
      </w:r>
      <w:r w:rsidRPr="007A0DC8">
        <w:rPr>
          <w:rFonts w:asciiTheme="minorHAnsi" w:hAnsiTheme="minorHAnsi" w:cstheme="minorHAnsi"/>
          <w:color w:val="auto"/>
          <w:sz w:val="18"/>
          <w:szCs w:val="18"/>
        </w:rPr>
        <w:t>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overflowPunct w:val="0"/>
        <w:spacing w:line="240" w:lineRule="atLeast"/>
        <w:jc w:val="both"/>
        <w:textAlignment w:val="baseline"/>
        <w:rPr>
          <w:rFonts w:asciiTheme="minorHAnsi" w:hAnsiTheme="minorHAnsi" w:cstheme="minorHAnsi"/>
          <w:i/>
          <w:color w:val="auto"/>
          <w:sz w:val="18"/>
          <w:szCs w:val="18"/>
        </w:rPr>
      </w:pPr>
      <w:r w:rsidRPr="007A0DC8">
        <w:rPr>
          <w:rFonts w:asciiTheme="minorHAnsi" w:hAnsiTheme="minorHAnsi" w:cstheme="minorHAnsi"/>
          <w:i/>
          <w:color w:val="auto"/>
          <w:sz w:val="18"/>
          <w:szCs w:val="18"/>
        </w:rPr>
        <w:t xml:space="preserve">« [Nom de la société de gestion] est agréée par [nom de l’État membre] et réglementée par [nom de l’autorité compétente]. »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FF9900"/>
          <w:sz w:val="18"/>
          <w:szCs w:val="18"/>
        </w:rPr>
      </w:pPr>
      <w:r w:rsidRPr="007A0DC8">
        <w:rPr>
          <w:rFonts w:asciiTheme="minorHAnsi" w:hAnsiTheme="minorHAnsi" w:cstheme="minorHAnsi"/>
          <w:iCs/>
          <w:color w:val="auto"/>
          <w:sz w:val="18"/>
          <w:szCs w:val="18"/>
        </w:rPr>
        <w:t xml:space="preserve"> Les informations clés pour l’investisseur ici fournies sont exactes et à jour au [date de publication]. »</w:t>
      </w:r>
      <w:r w:rsidRPr="007A0DC8">
        <w:rPr>
          <w:rFonts w:asciiTheme="minorHAnsi" w:hAnsiTheme="minorHAnsi" w:cstheme="minorHAnsi"/>
          <w:color w:val="FF9900"/>
          <w:sz w:val="18"/>
          <w:szCs w:val="18"/>
        </w:rPr>
        <w:t xml:space="preserve">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FF9900"/>
          <w:sz w:val="18"/>
          <w:szCs w:val="18"/>
        </w:rPr>
      </w:pP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color w:val="auto"/>
          <w:sz w:val="18"/>
          <w:szCs w:val="18"/>
        </w:rPr>
      </w:pPr>
      <w:r w:rsidRPr="007A0DC8">
        <w:rPr>
          <w:rFonts w:asciiTheme="minorHAnsi" w:hAnsiTheme="minorHAnsi" w:cstheme="minorHAnsi"/>
          <w:b/>
          <w:color w:val="auto"/>
          <w:sz w:val="18"/>
          <w:szCs w:val="18"/>
        </w:rPr>
        <w:t>Mentions spécifiques aux fonds relevant du règlement (UE) 2017/1131 dit « Règlement MMF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sz w:val="18"/>
          <w:szCs w:val="18"/>
        </w:rPr>
      </w:pP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r w:rsidRPr="007A0DC8">
        <w:rPr>
          <w:rFonts w:asciiTheme="minorHAnsi" w:hAnsiTheme="minorHAnsi" w:cstheme="minorHAnsi"/>
          <w:color w:val="auto"/>
          <w:sz w:val="18"/>
          <w:szCs w:val="18"/>
        </w:rPr>
        <w:t xml:space="preserve">1° Mention relative à la caractéristique du fonds (à faire figurer dans la rubrique « objectifs et politique d’investissement ») : en vertu de l’article 36 paragraphe 1 du Règlement MMF, </w:t>
      </w:r>
      <w:r w:rsidRPr="007A0DC8">
        <w:rPr>
          <w:rFonts w:asciiTheme="minorHAnsi" w:eastAsia="Times" w:hAnsiTheme="minorHAnsi" w:cstheme="minorHAnsi"/>
          <w:color w:val="auto"/>
          <w:sz w:val="18"/>
          <w:szCs w:val="18"/>
        </w:rPr>
        <w:t xml:space="preserve">un fonds monétaire indique clairement :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sz w:val="18"/>
          <w:szCs w:val="18"/>
        </w:rPr>
      </w:pPr>
      <w:r w:rsidRPr="007A0DC8">
        <w:rPr>
          <w:rFonts w:asciiTheme="minorHAnsi" w:eastAsia="Times" w:hAnsiTheme="minorHAnsi" w:cstheme="minorHAnsi"/>
          <w:color w:val="auto"/>
          <w:sz w:val="18"/>
          <w:szCs w:val="18"/>
        </w:rPr>
        <w:t xml:space="preserve">(i) s'il est un fonds monétaire à court terme ou un fonds monétaire standard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sz w:val="18"/>
          <w:szCs w:val="18"/>
        </w:rPr>
      </w:pPr>
      <w:r w:rsidRPr="007A0DC8">
        <w:rPr>
          <w:rFonts w:asciiTheme="minorHAnsi" w:eastAsia="Times" w:hAnsiTheme="minorHAnsi" w:cstheme="minorHAnsi"/>
          <w:color w:val="auto"/>
          <w:sz w:val="18"/>
          <w:szCs w:val="18"/>
        </w:rPr>
        <w:t xml:space="preserve">(ii) et quel type de fonds monétaire il est :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sz w:val="18"/>
          <w:szCs w:val="18"/>
        </w:rPr>
      </w:pPr>
      <w:r w:rsidRPr="007A0DC8">
        <w:rPr>
          <w:rFonts w:asciiTheme="minorHAnsi" w:eastAsia="Times" w:hAnsiTheme="minorHAnsi" w:cstheme="minorHAnsi"/>
          <w:color w:val="auto"/>
          <w:sz w:val="18"/>
          <w:szCs w:val="18"/>
        </w:rPr>
        <w:t xml:space="preserve">            -    Fonds monétaire à valeur liquidative constante de dette publique (CNAV) ;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sz w:val="18"/>
          <w:szCs w:val="18"/>
        </w:rPr>
      </w:pPr>
      <w:r w:rsidRPr="007A0DC8">
        <w:rPr>
          <w:rFonts w:asciiTheme="minorHAnsi" w:eastAsia="Times" w:hAnsiTheme="minorHAnsi" w:cstheme="minorHAnsi"/>
          <w:color w:val="auto"/>
          <w:sz w:val="18"/>
          <w:szCs w:val="18"/>
        </w:rPr>
        <w:t xml:space="preserve">            -    Fonds monétaire à valeur liquidative à faible volatilité (LVNAV) ;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r w:rsidRPr="007A0DC8">
        <w:rPr>
          <w:rFonts w:asciiTheme="minorHAnsi" w:eastAsia="Times" w:hAnsiTheme="minorHAnsi" w:cstheme="minorHAnsi"/>
          <w:color w:val="auto"/>
          <w:sz w:val="18"/>
          <w:szCs w:val="18"/>
        </w:rPr>
        <w:t xml:space="preserve">            -    Fonds monétaire à valeur liquidative variable (VNAV).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r w:rsidRPr="007A0DC8">
        <w:rPr>
          <w:rFonts w:asciiTheme="minorHAnsi" w:hAnsiTheme="minorHAnsi" w:cstheme="minorHAnsi"/>
          <w:color w:val="auto"/>
          <w:sz w:val="18"/>
          <w:szCs w:val="18"/>
        </w:rPr>
        <w:t xml:space="preserve">2° Mention relative à la notation de crédit externe du fonds (à faire figurer dans la rubrique « Autres informations </w:t>
      </w:r>
      <w:proofErr w:type="gramStart"/>
      <w:r w:rsidRPr="007A0DC8">
        <w:rPr>
          <w:rFonts w:asciiTheme="minorHAnsi" w:hAnsiTheme="minorHAnsi" w:cstheme="minorHAnsi"/>
          <w:color w:val="auto"/>
          <w:sz w:val="18"/>
          <w:szCs w:val="18"/>
        </w:rPr>
        <w:t>»)  :</w:t>
      </w:r>
      <w:proofErr w:type="gramEnd"/>
      <w:r w:rsidRPr="007A0DC8">
        <w:rPr>
          <w:rFonts w:asciiTheme="minorHAnsi" w:hAnsiTheme="minorHAnsi" w:cstheme="minorHAnsi"/>
          <w:color w:val="auto"/>
          <w:sz w:val="18"/>
          <w:szCs w:val="18"/>
        </w:rPr>
        <w:t xml:space="preserve"> conformément aux dispositions de l’article 26 du Règlement MMF, si une notation de crédit externe a été sollicitée ou financée par le fonds et qu’elle apparait dans ce document, il est clairement indiqué que ladite notation a été sollicitée ou financée par le fonds ou le gestionnaire du fonds ;</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r w:rsidRPr="007A0DC8">
        <w:rPr>
          <w:rFonts w:asciiTheme="minorHAnsi" w:hAnsiTheme="minorHAnsi" w:cstheme="minorHAnsi"/>
          <w:color w:val="auto"/>
          <w:sz w:val="18"/>
          <w:szCs w:val="18"/>
        </w:rPr>
        <w:t>3° Mention spécifique aux fonds à valeur liquidative à faible volatilité (LVNAV) (à faire figurer dans la rubrique « Caractéristiques essentielles du fonds d’épargne salariale qu’un investisseur devrait savoir ») : conformément aux dispositions de l’article 33 du Règlement MMF, le gestionnaire d'un fonds monétaire indique les circonstances dans lesquelles le fonds LVNAV ne procède plus à un rachat ou à une souscription à une valeur liquidative constante par part ou par action.</w:t>
      </w:r>
    </w:p>
    <w:p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rsidR="007B7906" w:rsidRPr="00101712" w:rsidRDefault="007B7906" w:rsidP="007B7906">
      <w:pPr>
        <w:rPr>
          <w:lang w:eastAsia="en-US"/>
        </w:rPr>
      </w:pPr>
    </w:p>
    <w:p w:rsidR="007B7906" w:rsidRDefault="007B7906" w:rsidP="007B7906">
      <w:pPr>
        <w:rPr>
          <w:rFonts w:cs="Arial"/>
          <w:szCs w:val="18"/>
        </w:rPr>
      </w:pPr>
    </w:p>
    <w:p w:rsidR="00922AD8" w:rsidRPr="007B7906" w:rsidRDefault="00922AD8" w:rsidP="007B7906">
      <w:pPr>
        <w:jc w:val="both"/>
        <w:rPr>
          <w:rFonts w:asciiTheme="minorHAnsi" w:hAnsiTheme="minorHAnsi" w:cstheme="minorHAnsi"/>
          <w:sz w:val="20"/>
          <w:szCs w:val="20"/>
        </w:rPr>
      </w:pPr>
    </w:p>
    <w:p w:rsidR="00922AD8" w:rsidRPr="007B7906" w:rsidRDefault="00922AD8" w:rsidP="007B7906">
      <w:pPr>
        <w:jc w:val="both"/>
        <w:rPr>
          <w:rFonts w:asciiTheme="minorHAnsi" w:hAnsiTheme="minorHAnsi" w:cstheme="minorHAnsi"/>
          <w:sz w:val="20"/>
          <w:szCs w:val="20"/>
        </w:rPr>
      </w:pPr>
    </w:p>
    <w:p w:rsidR="00922AD8" w:rsidRPr="007B7906" w:rsidRDefault="00922AD8" w:rsidP="007B7906">
      <w:pPr>
        <w:jc w:val="both"/>
        <w:rPr>
          <w:rFonts w:asciiTheme="minorHAnsi" w:hAnsiTheme="minorHAnsi" w:cstheme="minorHAnsi"/>
          <w:sz w:val="20"/>
          <w:szCs w:val="20"/>
        </w:rPr>
      </w:pPr>
    </w:p>
    <w:sectPr w:rsidR="00922AD8" w:rsidRPr="007B7906" w:rsidSect="00081395">
      <w:headerReference w:type="default" r:id="rId9"/>
      <w:footerReference w:type="default" r:id="rId10"/>
      <w:headerReference w:type="first" r:id="rId11"/>
      <w:footerReference w:type="first" r:id="rId12"/>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76" w:rsidRDefault="008B0776">
      <w:r>
        <w:separator/>
      </w:r>
    </w:p>
  </w:endnote>
  <w:endnote w:type="continuationSeparator" w:id="0">
    <w:p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EUAlbertina">
    <w:altName w:val="Cambria"/>
    <w:panose1 w:val="00000000000000000000"/>
    <w:charset w:val="00"/>
    <w:family w:val="swiss"/>
    <w:notTrueType/>
    <w:pitch w:val="default"/>
    <w:sig w:usb0="00000003" w:usb1="00000000" w:usb2="00000000" w:usb3="00000000" w:csb0="00000001" w:csb1="00000000"/>
  </w:font>
  <w:font w:name="Small Font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9F0174">
              <w:rPr>
                <w:rFonts w:asciiTheme="minorHAnsi" w:hAnsiTheme="minorHAnsi" w:cstheme="minorHAnsi"/>
                <w:bCs/>
                <w:noProof/>
                <w:sz w:val="18"/>
                <w:szCs w:val="18"/>
              </w:rPr>
              <w:t>4</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9F0174">
              <w:rPr>
                <w:rFonts w:asciiTheme="minorHAnsi" w:hAnsiTheme="minorHAnsi" w:cstheme="minorHAnsi"/>
                <w:bCs/>
                <w:noProof/>
                <w:sz w:val="18"/>
                <w:szCs w:val="18"/>
              </w:rPr>
              <w:t>4</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9F0174">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9F0174">
              <w:rPr>
                <w:rFonts w:asciiTheme="minorHAnsi" w:hAnsiTheme="minorHAnsi" w:cstheme="minorHAnsi"/>
                <w:bCs/>
                <w:noProof/>
                <w:sz w:val="18"/>
                <w:szCs w:val="18"/>
              </w:rPr>
              <w:t>4</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76" w:rsidRDefault="008B0776">
      <w:r>
        <w:separator/>
      </w:r>
    </w:p>
  </w:footnote>
  <w:footnote w:type="continuationSeparator" w:id="0">
    <w:p w:rsidR="008B0776" w:rsidRDefault="008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C119D9" w:rsidP="007B7906">
    <w:pPr>
      <w:pStyle w:val="En-tte"/>
      <w:ind w:left="567"/>
      <w:rPr>
        <w:rFonts w:asciiTheme="minorHAnsi" w:hAnsiTheme="minorHAnsi" w:cstheme="minorHAnsi"/>
        <w:sz w:val="18"/>
        <w:szCs w:val="18"/>
      </w:rPr>
    </w:pPr>
    <w:r w:rsidRPr="00C119D9">
      <w:rPr>
        <w:rFonts w:asciiTheme="minorHAnsi" w:hAnsiTheme="minorHAnsi" w:cstheme="minorHAnsi"/>
        <w:sz w:val="18"/>
        <w:szCs w:val="18"/>
      </w:rPr>
      <w:t xml:space="preserve">Plan-type du document d’information clé pour l’investisseur </w:t>
    </w:r>
    <w:r>
      <w:rPr>
        <w:rFonts w:asciiTheme="minorHAnsi" w:hAnsiTheme="minorHAnsi" w:cstheme="minorHAnsi"/>
        <w:sz w:val="18"/>
        <w:szCs w:val="18"/>
      </w:rPr>
      <w:t xml:space="preserve">- </w:t>
    </w:r>
    <w:r w:rsidR="007B7906">
      <w:rPr>
        <w:rFonts w:asciiTheme="minorHAnsi" w:hAnsiTheme="minorHAnsi" w:cstheme="minorHAnsi"/>
        <w:sz w:val="18"/>
        <w:szCs w:val="18"/>
      </w:rPr>
      <w:t>Annexe XI de l’instruction AMF</w:t>
    </w:r>
    <w:r w:rsidR="00922AD8" w:rsidRPr="00922AD8">
      <w:rPr>
        <w:rFonts w:asciiTheme="minorHAnsi" w:hAnsiTheme="minorHAnsi" w:cstheme="minorHAnsi"/>
        <w:sz w:val="18"/>
        <w:szCs w:val="18"/>
      </w:rPr>
      <w:t xml:space="preserve">- </w:t>
    </w:r>
    <w:r w:rsidR="007B7906">
      <w:rPr>
        <w:rFonts w:asciiTheme="minorHAnsi" w:hAnsiTheme="minorHAnsi" w:cstheme="minorHAnsi"/>
        <w:sz w:val="18"/>
        <w:szCs w:val="18"/>
      </w:rPr>
      <w:t>DOC-2011-21</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pt;height:28.3pt" o:bullet="t">
        <v:imagedata r:id="rId1" o:title="Flêche_AMF_blc"/>
      </v:shape>
    </w:pict>
  </w:numPicBullet>
  <w:numPicBullet w:numPicBulletId="1">
    <w:pict>
      <v:shape id="_x0000_i1027" type="#_x0000_t75" style="width:2.5pt;height:2.5pt" o:bullet="t">
        <v:imagedata r:id="rId2" o:title="Fleche_prune copie"/>
      </v:shape>
    </w:pict>
  </w:numPicBullet>
  <w:numPicBullet w:numPicBulletId="2">
    <w:pict>
      <v:shape w14:anchorId="5E9464C7" id="_x0000_i1028" type="#_x0000_t75" style="width:28.3pt;height:28.3pt" o:bullet="t">
        <v:imagedata r:id="rId3" o:title="Fleche_jaune"/>
      </v:shape>
    </w:pict>
  </w:numPicBullet>
  <w:numPicBullet w:numPicBulletId="3">
    <w:pict>
      <v:shape id="_x0000_i1029" type="#_x0000_t75" style="width:28.3pt;height:28.3pt" o:bullet="t">
        <v:imagedata r:id="rId4" o:title="Fleche_aubergine"/>
      </v:shape>
    </w:pict>
  </w:numPicBullet>
  <w:numPicBullet w:numPicBulletId="4">
    <w:pict>
      <v:shape id="_x0000_i1030" type="#_x0000_t75" style="width:28.3pt;height:28.3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A86185"/>
    <w:multiLevelType w:val="hybridMultilevel"/>
    <w:tmpl w:val="0074B6BC"/>
    <w:lvl w:ilvl="0" w:tplc="040C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30"/>
  </w:num>
  <w:num w:numId="5">
    <w:abstractNumId w:val="34"/>
  </w:num>
  <w:num w:numId="6">
    <w:abstractNumId w:val="11"/>
  </w:num>
  <w:num w:numId="7">
    <w:abstractNumId w:val="12"/>
  </w:num>
  <w:num w:numId="8">
    <w:abstractNumId w:val="2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5"/>
  </w:num>
  <w:num w:numId="21">
    <w:abstractNumId w:val="14"/>
  </w:num>
  <w:num w:numId="22">
    <w:abstractNumId w:val="18"/>
  </w:num>
  <w:num w:numId="23">
    <w:abstractNumId w:val="13"/>
  </w:num>
  <w:num w:numId="24">
    <w:abstractNumId w:val="29"/>
  </w:num>
  <w:num w:numId="25">
    <w:abstractNumId w:val="26"/>
  </w:num>
  <w:num w:numId="26">
    <w:abstractNumId w:val="33"/>
  </w:num>
  <w:num w:numId="27">
    <w:abstractNumId w:val="20"/>
  </w:num>
  <w:num w:numId="28">
    <w:abstractNumId w:val="16"/>
  </w:num>
  <w:num w:numId="29">
    <w:abstractNumId w:val="22"/>
    <w:lvlOverride w:ilvl="0">
      <w:startOverride w:val="1"/>
    </w:lvlOverride>
  </w:num>
  <w:num w:numId="30">
    <w:abstractNumId w:val="13"/>
  </w:num>
  <w:num w:numId="31">
    <w:abstractNumId w:val="31"/>
  </w:num>
  <w:num w:numId="32">
    <w:abstractNumId w:val="23"/>
  </w:num>
  <w:num w:numId="33">
    <w:abstractNumId w:val="27"/>
  </w:num>
  <w:num w:numId="34">
    <w:abstractNumId w:val="17"/>
  </w:num>
  <w:num w:numId="35">
    <w:abstractNumId w:val="28"/>
  </w:num>
  <w:num w:numId="36">
    <w:abstractNumId w:val="21"/>
  </w:num>
  <w:num w:numId="37">
    <w:abstractNumId w:val="19"/>
  </w:num>
  <w:num w:numId="38">
    <w:abstractNumId w:val="35"/>
  </w:num>
  <w:num w:numId="3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1B654A"/>
    <w:rsid w:val="0023233D"/>
    <w:rsid w:val="002434A6"/>
    <w:rsid w:val="002F705A"/>
    <w:rsid w:val="00365120"/>
    <w:rsid w:val="003B0015"/>
    <w:rsid w:val="00460571"/>
    <w:rsid w:val="005009B5"/>
    <w:rsid w:val="00511597"/>
    <w:rsid w:val="00593EDE"/>
    <w:rsid w:val="005C1100"/>
    <w:rsid w:val="005C6282"/>
    <w:rsid w:val="0066464A"/>
    <w:rsid w:val="00684FDF"/>
    <w:rsid w:val="006C4987"/>
    <w:rsid w:val="006E6631"/>
    <w:rsid w:val="007211C5"/>
    <w:rsid w:val="0075127A"/>
    <w:rsid w:val="007759C7"/>
    <w:rsid w:val="007A0DC8"/>
    <w:rsid w:val="007B7906"/>
    <w:rsid w:val="007C2CD0"/>
    <w:rsid w:val="00826BA0"/>
    <w:rsid w:val="00835FC9"/>
    <w:rsid w:val="008A64B6"/>
    <w:rsid w:val="008B0776"/>
    <w:rsid w:val="008B2E32"/>
    <w:rsid w:val="00922AD8"/>
    <w:rsid w:val="009522A4"/>
    <w:rsid w:val="0097706F"/>
    <w:rsid w:val="009D35DA"/>
    <w:rsid w:val="009F0174"/>
    <w:rsid w:val="00A375FC"/>
    <w:rsid w:val="00A52761"/>
    <w:rsid w:val="00AC2B18"/>
    <w:rsid w:val="00AF529B"/>
    <w:rsid w:val="00B46BE7"/>
    <w:rsid w:val="00C109BF"/>
    <w:rsid w:val="00C119D9"/>
    <w:rsid w:val="00C44D28"/>
    <w:rsid w:val="00C96044"/>
    <w:rsid w:val="00CB3205"/>
    <w:rsid w:val="00D34F5C"/>
    <w:rsid w:val="00D52CFD"/>
    <w:rsid w:val="00D55321"/>
    <w:rsid w:val="00D80A91"/>
    <w:rsid w:val="00E049BB"/>
    <w:rsid w:val="00E1204F"/>
    <w:rsid w:val="00E46668"/>
    <w:rsid w:val="00E66D10"/>
    <w:rsid w:val="00E74AAB"/>
    <w:rsid w:val="00E9134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B98AE"/>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Default">
    <w:name w:val="Default"/>
    <w:rsid w:val="007B7906"/>
    <w:pPr>
      <w:autoSpaceDE w:val="0"/>
      <w:autoSpaceDN w:val="0"/>
      <w:adjustRightInd w:val="0"/>
    </w:pPr>
    <w:rPr>
      <w:rFonts w:ascii="EUAlbertina" w:hAnsi="EUAlbertina" w:cs="EUAlberti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1855</Words>
  <Characters>10203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9</cp:revision>
  <cp:lastPrinted>2010-11-05T13:58:00Z</cp:lastPrinted>
  <dcterms:created xsi:type="dcterms:W3CDTF">2019-08-19T14:50:00Z</dcterms:created>
  <dcterms:modified xsi:type="dcterms:W3CDTF">2019-10-09T09:27:00Z</dcterms:modified>
</cp:coreProperties>
</file>