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996212" w:rsidRDefault="00E1204F" w:rsidP="00061209">
      <w:pPr>
        <w:pStyle w:val="AMFTitre"/>
        <w:ind w:left="0"/>
        <w:rPr>
          <w:sz w:val="24"/>
          <w:szCs w:val="24"/>
        </w:rPr>
      </w:pPr>
      <w:r w:rsidRPr="00996212">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996212" w:rsidRPr="00996212">
        <w:rPr>
          <w:sz w:val="24"/>
          <w:szCs w:val="24"/>
        </w:rPr>
        <w:t>Plan-type du document d’information clé pour l’investisseur pour les FCPE relais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996212" w:rsidRDefault="00996212" w:rsidP="00996212">
      <w:pPr>
        <w:pStyle w:val="AMFDate"/>
        <w:ind w:left="0"/>
        <w:jc w:val="both"/>
        <w:rPr>
          <w:rFonts w:asciiTheme="minorHAnsi" w:hAnsiTheme="minorHAnsi" w:cstheme="minorHAnsi"/>
          <w:szCs w:val="20"/>
        </w:rPr>
      </w:pPr>
      <w:r w:rsidRPr="00996212">
        <w:rPr>
          <w:rFonts w:asciiTheme="minorHAnsi" w:hAnsiTheme="minorHAnsi" w:cstheme="minorHAnsi"/>
          <w:iCs/>
          <w:szCs w:val="20"/>
        </w:rPr>
        <w:t xml:space="preserve">Ce document constitue l’annexe XII de l’instruction AMF </w:t>
      </w:r>
      <w:r w:rsidRPr="00996212">
        <w:rPr>
          <w:rFonts w:asciiTheme="minorHAnsi" w:hAnsiTheme="minorHAnsi" w:cstheme="minorHAnsi"/>
          <w:szCs w:val="20"/>
        </w:rPr>
        <w:t>- Procédures d’agrément, établissement d’un DICI et d’un prospectus et information périodique des fonds d’épargne salariale – DOC-2011-21</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C01180" w:rsidRDefault="00C01180" w:rsidP="00C01180">
      <w:pPr>
        <w:rPr>
          <w:rFonts w:cs="Arial"/>
          <w:szCs w:val="18"/>
        </w:rPr>
      </w:pP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C01180">
        <w:rPr>
          <w:rFonts w:asciiTheme="minorHAnsi" w:hAnsiTheme="minorHAnsi" w:cstheme="minorHAnsi"/>
          <w:b/>
          <w:sz w:val="18"/>
          <w:szCs w:val="18"/>
        </w:rPr>
        <w:t xml:space="preserve">Informations clés pour l’investisseur </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rPr>
          <w:rFonts w:asciiTheme="minorHAnsi" w:hAnsiTheme="minorHAnsi" w:cstheme="minorHAnsi"/>
          <w:sz w:val="18"/>
          <w:szCs w:val="18"/>
        </w:rPr>
      </w:pP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iCs/>
          <w:color w:val="auto"/>
          <w:sz w:val="18"/>
          <w:szCs w:val="18"/>
        </w:rPr>
        <w:t xml:space="preserve">« Ce document fournit des informations essentielles aux investisseurs de ce </w:t>
      </w:r>
      <w:r w:rsidRPr="00C01180">
        <w:rPr>
          <w:rFonts w:asciiTheme="minorHAnsi" w:hAnsiTheme="minorHAnsi" w:cstheme="minorHAnsi"/>
          <w:color w:val="auto"/>
          <w:sz w:val="18"/>
          <w:szCs w:val="18"/>
        </w:rPr>
        <w:t>fonds d’épargne salariale</w:t>
      </w:r>
      <w:r w:rsidRPr="00C01180">
        <w:rPr>
          <w:rFonts w:asciiTheme="minorHAnsi" w:hAnsiTheme="minorHAnsi" w:cstheme="minorHAnsi"/>
          <w:iCs/>
          <w:color w:val="auto"/>
          <w:sz w:val="18"/>
          <w:szCs w:val="18"/>
        </w:rPr>
        <w:t>.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w:t>
      </w:r>
      <w:r>
        <w:rPr>
          <w:rFonts w:asciiTheme="minorHAnsi" w:hAnsiTheme="minorHAnsi" w:cstheme="minorHAnsi"/>
          <w:iCs/>
          <w:color w:val="auto"/>
          <w:sz w:val="18"/>
          <w:szCs w:val="18"/>
        </w:rPr>
        <w:t xml:space="preserve">ance de cause d’investir ou non </w:t>
      </w:r>
      <w:r w:rsidRPr="00C01180">
        <w:rPr>
          <w:rFonts w:asciiTheme="minorHAnsi" w:hAnsiTheme="minorHAnsi" w:cstheme="minorHAnsi"/>
          <w:iCs/>
          <w:color w:val="auto"/>
          <w:sz w:val="18"/>
          <w:szCs w:val="18"/>
        </w:rPr>
        <w:t>»</w:t>
      </w:r>
      <w:r w:rsidRPr="00C01180">
        <w:rPr>
          <w:rFonts w:asciiTheme="minorHAnsi" w:hAnsiTheme="minorHAnsi" w:cstheme="minorHAnsi"/>
          <w:color w:val="auto"/>
          <w:sz w:val="18"/>
          <w:szCs w:val="18"/>
        </w:rPr>
        <w:t xml:space="preserve">. </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rPr>
          <w:rFonts w:asciiTheme="minorHAnsi" w:hAnsiTheme="minorHAnsi" w:cstheme="minorHAnsi"/>
          <w:sz w:val="18"/>
          <w:szCs w:val="18"/>
        </w:rPr>
      </w:pP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C01180">
        <w:rPr>
          <w:rFonts w:asciiTheme="minorHAnsi" w:hAnsiTheme="minorHAnsi" w:cstheme="minorHAnsi"/>
          <w:b/>
          <w:color w:val="auto"/>
          <w:sz w:val="18"/>
          <w:szCs w:val="18"/>
        </w:rPr>
        <w:t xml:space="preserve">Dénomination du FCPE </w:t>
      </w:r>
      <w:r w:rsidRPr="00C01180">
        <w:rPr>
          <w:rFonts w:asciiTheme="minorHAnsi" w:hAnsiTheme="minorHAnsi" w:cstheme="minorHAnsi"/>
          <w:color w:val="auto"/>
          <w:sz w:val="18"/>
          <w:szCs w:val="18"/>
        </w:rPr>
        <w:t>(</w:t>
      </w:r>
      <w:r w:rsidRPr="00C01180">
        <w:rPr>
          <w:rFonts w:asciiTheme="minorHAnsi" w:hAnsiTheme="minorHAnsi" w:cstheme="minorHAnsi"/>
          <w:b/>
          <w:color w:val="auto"/>
          <w:sz w:val="18"/>
          <w:szCs w:val="18"/>
        </w:rPr>
        <w:t>Code ISIN/AMF)</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C01180">
        <w:rPr>
          <w:rFonts w:asciiTheme="minorHAnsi" w:hAnsiTheme="minorHAnsi" w:cstheme="minorHAnsi"/>
          <w:b/>
          <w:color w:val="auto"/>
          <w:sz w:val="18"/>
          <w:szCs w:val="18"/>
        </w:rPr>
        <w:t>(</w:t>
      </w:r>
      <w:r w:rsidR="004C40D0">
        <w:rPr>
          <w:rFonts w:asciiTheme="minorHAnsi" w:hAnsiTheme="minorHAnsi" w:cstheme="minorHAnsi"/>
          <w:color w:val="auto"/>
          <w:sz w:val="18"/>
          <w:szCs w:val="18"/>
        </w:rPr>
        <w:t>E</w:t>
      </w:r>
      <w:r w:rsidRPr="00C01180">
        <w:rPr>
          <w:rFonts w:asciiTheme="minorHAnsi" w:hAnsiTheme="minorHAnsi" w:cstheme="minorHAnsi"/>
          <w:color w:val="auto"/>
          <w:sz w:val="18"/>
          <w:szCs w:val="18"/>
        </w:rPr>
        <w:t>t</w:t>
      </w:r>
      <w:r w:rsidRPr="00C01180">
        <w:rPr>
          <w:rFonts w:asciiTheme="minorHAnsi" w:hAnsiTheme="minorHAnsi" w:cstheme="minorHAnsi"/>
          <w:b/>
          <w:color w:val="auto"/>
          <w:sz w:val="18"/>
          <w:szCs w:val="18"/>
        </w:rPr>
        <w:t xml:space="preserve"> </w:t>
      </w:r>
      <w:r w:rsidRPr="00C01180">
        <w:rPr>
          <w:rFonts w:asciiTheme="minorHAnsi" w:hAnsiTheme="minorHAnsi" w:cstheme="minorHAnsi"/>
          <w:color w:val="auto"/>
          <w:sz w:val="18"/>
          <w:szCs w:val="18"/>
        </w:rPr>
        <w:t>le cas échéant dénomination du FCPE de tête et/ou de la catégorie de part ou d’action (</w:t>
      </w:r>
      <w:r w:rsidRPr="00C01180">
        <w:rPr>
          <w:rFonts w:asciiTheme="minorHAnsi" w:hAnsiTheme="minorHAnsi" w:cstheme="minorHAnsi"/>
          <w:b/>
          <w:color w:val="auto"/>
          <w:sz w:val="18"/>
          <w:szCs w:val="18"/>
        </w:rPr>
        <w:t>Code ISIN)</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C01180">
        <w:rPr>
          <w:rFonts w:asciiTheme="minorHAnsi" w:hAnsiTheme="minorHAnsi" w:cstheme="minorHAnsi"/>
          <w:b/>
          <w:color w:val="auto"/>
          <w:sz w:val="18"/>
          <w:szCs w:val="18"/>
        </w:rPr>
        <w:t>Fonds commun de placement d’entreprise (FCPE)/Société à capital variable d’actionnariat salarié (SICAVAS) soumis(e) au droit français</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C01180">
        <w:rPr>
          <w:rFonts w:asciiTheme="minorHAnsi" w:hAnsiTheme="minorHAnsi" w:cstheme="minorHAnsi"/>
          <w:b/>
          <w:color w:val="auto"/>
          <w:sz w:val="18"/>
          <w:szCs w:val="18"/>
        </w:rPr>
        <w:t xml:space="preserve">Dénomination de la société de gestion </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C01180">
        <w:rPr>
          <w:rFonts w:asciiTheme="minorHAnsi" w:hAnsiTheme="minorHAnsi" w:cstheme="minorHAnsi"/>
          <w:b/>
          <w:color w:val="auto"/>
          <w:sz w:val="18"/>
          <w:szCs w:val="18"/>
        </w:rPr>
        <w:t>(</w:t>
      </w:r>
      <w:r w:rsidRPr="00C01180">
        <w:rPr>
          <w:rFonts w:asciiTheme="minorHAnsi" w:hAnsiTheme="minorHAnsi" w:cstheme="minorHAnsi"/>
          <w:color w:val="auto"/>
          <w:sz w:val="18"/>
          <w:szCs w:val="18"/>
        </w:rPr>
        <w:t>Et le cas échéant du groupe auquel elle appartient</w:t>
      </w:r>
      <w:r w:rsidRPr="00C01180">
        <w:rPr>
          <w:rFonts w:asciiTheme="minorHAnsi" w:hAnsiTheme="minorHAnsi" w:cstheme="minorHAnsi"/>
          <w:b/>
          <w:color w:val="auto"/>
          <w:sz w:val="18"/>
          <w:szCs w:val="18"/>
        </w:rPr>
        <w:t>)</w:t>
      </w:r>
    </w:p>
    <w:p w:rsidR="00C01180" w:rsidRPr="00910925" w:rsidRDefault="00C01180" w:rsidP="00C01180">
      <w:pPr>
        <w:pStyle w:val="Default"/>
        <w:pBdr>
          <w:top w:val="single" w:sz="4" w:space="1" w:color="auto"/>
          <w:left w:val="single" w:sz="4" w:space="0" w:color="auto"/>
          <w:bottom w:val="single" w:sz="4" w:space="1" w:color="auto"/>
          <w:right w:val="single" w:sz="4" w:space="1" w:color="auto"/>
        </w:pBdr>
        <w:spacing w:line="240" w:lineRule="atLeast"/>
        <w:rPr>
          <w:rFonts w:ascii="Arial" w:hAnsi="Arial" w:cs="Arial"/>
          <w:color w:val="auto"/>
          <w:sz w:val="16"/>
          <w:szCs w:val="16"/>
        </w:rPr>
      </w:pP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b/>
          <w:bCs/>
          <w:iCs/>
          <w:color w:val="auto"/>
          <w:sz w:val="18"/>
          <w:szCs w:val="18"/>
        </w:rPr>
        <w:t>Objectifs et politique d’investissement :</w:t>
      </w:r>
      <w:r w:rsidRPr="00C01180">
        <w:rPr>
          <w:rFonts w:asciiTheme="minorHAnsi" w:hAnsiTheme="minorHAnsi" w:cstheme="minorHAnsi"/>
          <w:color w:val="auto"/>
          <w:sz w:val="18"/>
          <w:szCs w:val="18"/>
        </w:rPr>
        <w:t xml:space="preserve"> </w:t>
      </w:r>
    </w:p>
    <w:p w:rsidR="00C01180" w:rsidRPr="00C01180" w:rsidRDefault="00C01180" w:rsidP="00C01180">
      <w:pPr>
        <w:pStyle w:val="CelluleIntitul"/>
        <w:pBdr>
          <w:top w:val="single" w:sz="4" w:space="1" w:color="auto"/>
          <w:left w:val="single" w:sz="4" w:space="0" w:color="auto"/>
          <w:bottom w:val="single" w:sz="4" w:space="1" w:color="auto"/>
          <w:right w:val="single" w:sz="4" w:space="1"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Theme="minorHAnsi" w:hAnsiTheme="minorHAnsi" w:cstheme="minorHAnsi"/>
          <w:w w:val="100"/>
          <w:sz w:val="18"/>
          <w:szCs w:val="18"/>
        </w:rPr>
      </w:pPr>
      <w:r w:rsidRPr="00C01180">
        <w:rPr>
          <w:rFonts w:asciiTheme="minorHAnsi" w:hAnsiTheme="minorHAnsi" w:cstheme="minorHAnsi"/>
          <w:w w:val="100"/>
          <w:sz w:val="18"/>
          <w:szCs w:val="18"/>
        </w:rPr>
        <w:t>Le fonds a pour objet de souscrire à une augmentation de capital réservée aux salariés Dans l’attente de cette augmentation de capital, le fonds aura temporair</w:t>
      </w:r>
      <w:bookmarkStart w:id="0" w:name="_GoBack"/>
      <w:bookmarkEnd w:id="0"/>
      <w:r w:rsidRPr="00C01180">
        <w:rPr>
          <w:rFonts w:asciiTheme="minorHAnsi" w:hAnsiTheme="minorHAnsi" w:cstheme="minorHAnsi"/>
          <w:w w:val="100"/>
          <w:sz w:val="18"/>
          <w:szCs w:val="18"/>
        </w:rPr>
        <w:t xml:space="preserve">ement un objectif de gestion prudent matérialisé par une performance xxx à l’indice xxx diminué des frais de gestion (le cas échéant), par le biais d’investissements en produits monétaires. Cette première phase de gestion induit un risque de xxx. À la suite de la souscription à l’augmentation de capital par le fonds, l’objectif sera alors de suivre une performance à la hausse comme à la baisse des actions de l’entreprise </w:t>
      </w:r>
      <w:proofErr w:type="spellStart"/>
      <w:r w:rsidRPr="00C01180">
        <w:rPr>
          <w:rFonts w:asciiTheme="minorHAnsi" w:hAnsiTheme="minorHAnsi" w:cstheme="minorHAnsi"/>
          <w:w w:val="100"/>
          <w:sz w:val="18"/>
          <w:szCs w:val="18"/>
        </w:rPr>
        <w:t>xxxx</w:t>
      </w:r>
      <w:proofErr w:type="spellEnd"/>
      <w:r w:rsidRPr="00C01180">
        <w:rPr>
          <w:rFonts w:asciiTheme="minorHAnsi" w:hAnsiTheme="minorHAnsi" w:cstheme="minorHAnsi"/>
          <w:w w:val="100"/>
          <w:sz w:val="18"/>
          <w:szCs w:val="18"/>
        </w:rPr>
        <w:t xml:space="preserve"> dans lesquelles il sera investi. Dès lors, le fonds sera susceptible de subir un risque de perte en capital et un risque action. Le fonds aura </w:t>
      </w:r>
      <w:r w:rsidRPr="00C01180">
        <w:rPr>
          <w:rFonts w:asciiTheme="minorHAnsi" w:hAnsiTheme="minorHAnsi" w:cstheme="minorHAnsi"/>
          <w:i/>
          <w:w w:val="100"/>
          <w:sz w:val="18"/>
          <w:szCs w:val="18"/>
        </w:rPr>
        <w:t>in fine</w:t>
      </w:r>
      <w:r w:rsidRPr="00C01180">
        <w:rPr>
          <w:rFonts w:asciiTheme="minorHAnsi" w:hAnsiTheme="minorHAnsi" w:cstheme="minorHAnsi"/>
          <w:w w:val="100"/>
          <w:sz w:val="18"/>
          <w:szCs w:val="18"/>
        </w:rPr>
        <w:t xml:space="preserve"> vocation à être fusionné dans les plus brefs délais, dans le fonds YYY, relevant de la catégorie des FCPE investis en titres cotés de l’entreprise (le DICI de ce fonds est annexé à la présente).</w:t>
      </w:r>
    </w:p>
    <w:p w:rsidR="00C01180" w:rsidRPr="00C01180" w:rsidRDefault="00C01180" w:rsidP="00C01180">
      <w:pPr>
        <w:pStyle w:val="CelluleIntitul"/>
        <w:widowControl/>
        <w:pBdr>
          <w:top w:val="single" w:sz="4" w:space="1" w:color="auto"/>
          <w:left w:val="single" w:sz="4" w:space="0" w:color="auto"/>
          <w:bottom w:val="single" w:sz="4" w:space="1" w:color="auto"/>
          <w:right w:val="single" w:sz="4" w:space="1"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Theme="minorHAnsi" w:hAnsiTheme="minorHAnsi" w:cstheme="minorHAnsi"/>
          <w:w w:val="100"/>
          <w:sz w:val="18"/>
          <w:szCs w:val="18"/>
        </w:rPr>
      </w:pPr>
      <w:r w:rsidRPr="00C01180">
        <w:rPr>
          <w:rFonts w:asciiTheme="minorHAnsi" w:hAnsiTheme="minorHAnsi" w:cstheme="minorHAnsi"/>
          <w:w w:val="100"/>
          <w:sz w:val="18"/>
          <w:szCs w:val="18"/>
        </w:rPr>
        <w:t>Période de souscription :</w:t>
      </w:r>
    </w:p>
    <w:p w:rsidR="00C01180" w:rsidRPr="00C01180" w:rsidRDefault="00C01180" w:rsidP="00C01180">
      <w:pPr>
        <w:pStyle w:val="CelluleIntitul"/>
        <w:widowControl/>
        <w:pBdr>
          <w:top w:val="single" w:sz="4" w:space="1" w:color="auto"/>
          <w:left w:val="single" w:sz="4" w:space="0" w:color="auto"/>
          <w:bottom w:val="single" w:sz="4" w:space="1" w:color="auto"/>
          <w:right w:val="single" w:sz="4" w:space="1"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Theme="minorHAnsi" w:hAnsiTheme="minorHAnsi" w:cstheme="minorHAnsi"/>
          <w:w w:val="100"/>
          <w:sz w:val="18"/>
          <w:szCs w:val="18"/>
        </w:rPr>
      </w:pPr>
      <w:r w:rsidRPr="00C01180">
        <w:rPr>
          <w:rFonts w:asciiTheme="minorHAnsi" w:hAnsiTheme="minorHAnsi" w:cstheme="minorHAnsi"/>
          <w:w w:val="100"/>
          <w:sz w:val="18"/>
          <w:szCs w:val="18"/>
        </w:rPr>
        <w:t>Date de fixation du prix ou Prix de souscription :</w:t>
      </w:r>
    </w:p>
    <w:p w:rsidR="00C01180" w:rsidRPr="00C01180" w:rsidRDefault="00C01180" w:rsidP="00C01180">
      <w:pPr>
        <w:pStyle w:val="CelluleIntitul"/>
        <w:widowControl/>
        <w:pBdr>
          <w:top w:val="single" w:sz="4" w:space="1" w:color="auto"/>
          <w:left w:val="single" w:sz="4" w:space="0" w:color="auto"/>
          <w:bottom w:val="single" w:sz="4" w:space="1" w:color="auto"/>
          <w:right w:val="single" w:sz="4" w:space="1"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Theme="minorHAnsi" w:hAnsiTheme="minorHAnsi" w:cstheme="minorHAnsi"/>
          <w:w w:val="100"/>
          <w:sz w:val="18"/>
          <w:szCs w:val="18"/>
        </w:rPr>
      </w:pPr>
      <w:r w:rsidRPr="00C01180">
        <w:rPr>
          <w:rFonts w:asciiTheme="minorHAnsi" w:hAnsiTheme="minorHAnsi" w:cstheme="minorHAnsi"/>
          <w:w w:val="100"/>
          <w:sz w:val="18"/>
          <w:szCs w:val="18"/>
        </w:rPr>
        <w:t>Période de rétractation (le cas échéant) :</w:t>
      </w:r>
    </w:p>
    <w:p w:rsidR="00C01180" w:rsidRPr="00C01180" w:rsidRDefault="00C01180" w:rsidP="00C01180">
      <w:pPr>
        <w:pStyle w:val="CelluleIntitul"/>
        <w:widowControl/>
        <w:pBdr>
          <w:top w:val="single" w:sz="4" w:space="1" w:color="auto"/>
          <w:left w:val="single" w:sz="4" w:space="0" w:color="auto"/>
          <w:bottom w:val="single" w:sz="4" w:space="1" w:color="auto"/>
          <w:right w:val="single" w:sz="4" w:space="1"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Theme="minorHAnsi" w:hAnsiTheme="minorHAnsi" w:cstheme="minorHAnsi"/>
          <w:w w:val="100"/>
          <w:sz w:val="18"/>
          <w:szCs w:val="18"/>
        </w:rPr>
      </w:pPr>
      <w:r w:rsidRPr="00C01180">
        <w:rPr>
          <w:rFonts w:asciiTheme="minorHAnsi" w:hAnsiTheme="minorHAnsi" w:cstheme="minorHAnsi"/>
          <w:w w:val="100"/>
          <w:sz w:val="18"/>
          <w:szCs w:val="18"/>
        </w:rPr>
        <w:t>Date de l’augmentation de capital :</w:t>
      </w:r>
    </w:p>
    <w:p w:rsidR="00C01180" w:rsidRPr="00C01180" w:rsidRDefault="00C01180" w:rsidP="00C01180">
      <w:pPr>
        <w:pStyle w:val="CelluleIntitul"/>
        <w:widowControl/>
        <w:pBdr>
          <w:top w:val="single" w:sz="4" w:space="1" w:color="auto"/>
          <w:left w:val="single" w:sz="4" w:space="0" w:color="auto"/>
          <w:bottom w:val="single" w:sz="4" w:space="1" w:color="auto"/>
          <w:right w:val="single" w:sz="4" w:space="1"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Theme="minorHAnsi" w:hAnsiTheme="minorHAnsi" w:cstheme="minorHAnsi"/>
          <w:i/>
          <w:iCs/>
          <w:w w:val="100"/>
          <w:sz w:val="18"/>
          <w:szCs w:val="18"/>
        </w:rPr>
      </w:pPr>
      <w:r w:rsidRPr="00C01180">
        <w:rPr>
          <w:rFonts w:asciiTheme="minorHAnsi" w:hAnsiTheme="minorHAnsi" w:cstheme="minorHAnsi"/>
          <w:i/>
          <w:iCs/>
          <w:w w:val="100"/>
          <w:sz w:val="18"/>
          <w:szCs w:val="18"/>
        </w:rPr>
        <w:t>Si les sommes sont déjà versées, les sursouscriptions feront l’objet d’une réaffectation. Celle-ci pourra se faire par arbitrage individuel des souscripteurs ou par scission du fonds relais. Cette dernière option sera notamment utilisée si des souscripteurs ne se sont pas manifestés, leurs avoirs devant alors être transférés vers le fonds le plus sécuritaire.</w:t>
      </w:r>
    </w:p>
    <w:p w:rsidR="00C01180" w:rsidRPr="00910925" w:rsidRDefault="00C01180" w:rsidP="00C01180">
      <w:pPr>
        <w:pStyle w:val="Default"/>
        <w:pBdr>
          <w:top w:val="single" w:sz="4" w:space="1" w:color="auto"/>
          <w:left w:val="single" w:sz="4" w:space="0" w:color="auto"/>
          <w:bottom w:val="single" w:sz="4" w:space="1" w:color="auto"/>
          <w:right w:val="single" w:sz="4" w:space="1" w:color="auto"/>
        </w:pBdr>
        <w:spacing w:line="240" w:lineRule="atLeast"/>
        <w:rPr>
          <w:rFonts w:ascii="Arial" w:hAnsi="Arial" w:cs="Arial"/>
          <w:color w:val="auto"/>
          <w:sz w:val="16"/>
          <w:szCs w:val="16"/>
        </w:rPr>
      </w:pP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b/>
          <w:bCs/>
          <w:iCs/>
          <w:color w:val="auto"/>
          <w:sz w:val="18"/>
          <w:szCs w:val="18"/>
        </w:rPr>
      </w:pPr>
      <w:r w:rsidRPr="00C01180">
        <w:rPr>
          <w:rFonts w:asciiTheme="minorHAnsi" w:hAnsiTheme="minorHAnsi" w:cstheme="minorHAnsi"/>
          <w:b/>
          <w:bCs/>
          <w:iCs/>
          <w:color w:val="auto"/>
          <w:sz w:val="18"/>
          <w:szCs w:val="18"/>
        </w:rPr>
        <w:t xml:space="preserve">Frais (si pertinent et différents des frais du FCPE d’actionnariat salarié avec lequel le FCPE relais a vocation à fusionner) : </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bCs/>
          <w:iCs/>
          <w:color w:val="auto"/>
          <w:sz w:val="18"/>
          <w:szCs w:val="18"/>
        </w:rPr>
      </w:pPr>
      <w:r w:rsidRPr="00C01180">
        <w:rPr>
          <w:rFonts w:asciiTheme="minorHAnsi" w:hAnsiTheme="minorHAnsi" w:cstheme="minorHAnsi"/>
          <w:bCs/>
          <w:iCs/>
          <w:color w:val="auto"/>
          <w:sz w:val="18"/>
          <w:szCs w:val="18"/>
        </w:rPr>
        <w:t>A la différence du FCPE avec lequel le FCPE d’actionnariat salarié a vocation à fusionner, les frais suivants sont à la charge du fonds relais :</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bCs/>
          <w:iCs/>
          <w:color w:val="auto"/>
          <w:sz w:val="18"/>
          <w:szCs w:val="18"/>
        </w:rPr>
      </w:pPr>
      <w:r w:rsidRPr="00C01180">
        <w:rPr>
          <w:rFonts w:asciiTheme="minorHAnsi" w:hAnsiTheme="minorHAnsi" w:cstheme="minorHAnsi"/>
          <w:bCs/>
          <w:iCs/>
          <w:color w:val="auto"/>
          <w:sz w:val="18"/>
          <w:szCs w:val="18"/>
        </w:rPr>
        <w:t>- les frais de gestion financière,</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bCs/>
          <w:iCs/>
          <w:color w:val="auto"/>
          <w:sz w:val="18"/>
          <w:szCs w:val="18"/>
        </w:rPr>
      </w:pPr>
      <w:r w:rsidRPr="00C01180">
        <w:rPr>
          <w:rFonts w:asciiTheme="minorHAnsi" w:hAnsiTheme="minorHAnsi" w:cstheme="minorHAnsi"/>
          <w:bCs/>
          <w:iCs/>
          <w:color w:val="auto"/>
          <w:sz w:val="18"/>
          <w:szCs w:val="18"/>
        </w:rPr>
        <w:t>- les honoraires du commissaire aux comptes,</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bCs/>
          <w:iCs/>
          <w:color w:val="auto"/>
          <w:sz w:val="18"/>
          <w:szCs w:val="18"/>
        </w:rPr>
      </w:pPr>
      <w:r w:rsidRPr="00C01180">
        <w:rPr>
          <w:rFonts w:asciiTheme="minorHAnsi" w:hAnsiTheme="minorHAnsi" w:cstheme="minorHAnsi"/>
          <w:bCs/>
          <w:iCs/>
          <w:color w:val="auto"/>
          <w:sz w:val="18"/>
          <w:szCs w:val="18"/>
        </w:rPr>
        <w:t>- les frais de gestion indirects.</w:t>
      </w:r>
    </w:p>
    <w:p w:rsidR="00C01180" w:rsidRPr="00C01180" w:rsidRDefault="00C01180" w:rsidP="00C01180">
      <w:pPr>
        <w:pStyle w:val="Default"/>
        <w:pBdr>
          <w:top w:val="single" w:sz="4" w:space="1" w:color="auto"/>
          <w:left w:val="single" w:sz="4" w:space="0" w:color="auto"/>
          <w:bottom w:val="single" w:sz="4" w:space="1" w:color="auto"/>
          <w:right w:val="single" w:sz="4" w:space="1" w:color="auto"/>
        </w:pBdr>
        <w:spacing w:line="240" w:lineRule="atLeast"/>
        <w:jc w:val="both"/>
        <w:rPr>
          <w:rFonts w:asciiTheme="minorHAnsi" w:hAnsiTheme="minorHAnsi" w:cstheme="minorHAnsi"/>
          <w:bCs/>
          <w:iCs/>
          <w:color w:val="auto"/>
          <w:sz w:val="18"/>
          <w:szCs w:val="18"/>
        </w:rPr>
      </w:pPr>
      <w:r w:rsidRPr="00C01180">
        <w:rPr>
          <w:rFonts w:asciiTheme="minorHAnsi" w:hAnsiTheme="minorHAnsi" w:cstheme="minorHAnsi"/>
          <w:bCs/>
          <w:iCs/>
          <w:color w:val="auto"/>
          <w:sz w:val="18"/>
          <w:szCs w:val="18"/>
        </w:rPr>
        <w:t>Ce qui correspond à des frais courants de % sur une durée de vie allant de la fin de la période de souscription à la fusion dans le FCPE d’actionnariat salarié</w:t>
      </w:r>
      <w:r>
        <w:rPr>
          <w:rFonts w:asciiTheme="minorHAnsi" w:hAnsiTheme="minorHAnsi" w:cstheme="minorHAnsi"/>
          <w:bCs/>
          <w:iCs/>
          <w:color w:val="auto"/>
          <w:sz w:val="18"/>
          <w:szCs w:val="18"/>
        </w:rPr>
        <w:t>.</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bCs/>
          <w:iCs/>
          <w:color w:val="auto"/>
          <w:sz w:val="18"/>
          <w:szCs w:val="18"/>
        </w:rPr>
        <w:lastRenderedPageBreak/>
        <w:t>Pour plus d’information sur les frais de ce FCPE, veuillez-vous référer à la rubrique « frais » de son règlement disponible sur le site internet : [</w:t>
      </w:r>
      <w:r w:rsidRPr="00C01180">
        <w:rPr>
          <w:rFonts w:asciiTheme="minorHAnsi" w:hAnsiTheme="minorHAnsi" w:cstheme="minorHAnsi"/>
          <w:bCs/>
          <w:i/>
          <w:iCs/>
          <w:color w:val="auto"/>
          <w:sz w:val="18"/>
          <w:szCs w:val="18"/>
        </w:rPr>
        <w:t>adresse du site internet</w:t>
      </w:r>
      <w:r w:rsidRPr="00C01180">
        <w:rPr>
          <w:rFonts w:asciiTheme="minorHAnsi" w:hAnsiTheme="minorHAnsi" w:cstheme="minorHAnsi"/>
          <w:bCs/>
          <w:iCs/>
          <w:color w:val="auto"/>
          <w:sz w:val="18"/>
          <w:szCs w:val="18"/>
        </w:rPr>
        <w:t>]</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b/>
          <w:color w:val="auto"/>
          <w:sz w:val="18"/>
          <w:szCs w:val="18"/>
        </w:rPr>
      </w:pPr>
      <w:r w:rsidRPr="00C01180">
        <w:rPr>
          <w:rFonts w:asciiTheme="minorHAnsi" w:hAnsiTheme="minorHAnsi" w:cstheme="minorHAnsi"/>
          <w:b/>
          <w:color w:val="auto"/>
          <w:sz w:val="18"/>
          <w:szCs w:val="18"/>
        </w:rPr>
        <w:t xml:space="preserve">Informations pratiques :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xml:space="preserve">- nom du dépositaire (si différent du fonds d’actionnariat) : à compléter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teneur de compte (si différent du fonds d’actionnariat) : à compléter</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forme juridique (si différent du fonds d’actionnariat) : FCPE individualisé/FCPE individualisé de groupe/FCPE multi-entreprises</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lieu et modalités d’obtention d’information sur le FCPE (prospectus/rapport annuel/document semestriel)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xml:space="preserve">- lieu et modalités d’obtention d’autres informations pratiques notamment la valeur liquidative :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fiscalité (si différent du fonds d’actionnariat)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xml:space="preserve">- préciser que </w:t>
      </w:r>
      <w:r w:rsidRPr="00C01180">
        <w:rPr>
          <w:rFonts w:asciiTheme="minorHAnsi" w:hAnsiTheme="minorHAnsi" w:cstheme="minorHAnsi"/>
          <w:iCs/>
          <w:color w:val="auto"/>
          <w:sz w:val="18"/>
          <w:szCs w:val="18"/>
        </w:rPr>
        <w:t>«</w:t>
      </w:r>
      <w:r w:rsidR="00143635">
        <w:rPr>
          <w:rFonts w:asciiTheme="minorHAnsi" w:hAnsiTheme="minorHAnsi" w:cstheme="minorHAnsi"/>
          <w:iCs/>
          <w:color w:val="auto"/>
          <w:sz w:val="18"/>
          <w:szCs w:val="18"/>
        </w:rPr>
        <w:t xml:space="preserve"> </w:t>
      </w:r>
      <w:r w:rsidRPr="00C01180">
        <w:rPr>
          <w:rFonts w:asciiTheme="minorHAnsi" w:hAnsiTheme="minorHAnsi" w:cstheme="minorHAnsi"/>
          <w:iCs/>
          <w:color w:val="auto"/>
          <w:sz w:val="18"/>
          <w:szCs w:val="18"/>
        </w:rPr>
        <w:t xml:space="preserve">La responsabilité de [insérer le nom de la société de gestion] ne peut être engagée que sur la base de déclarations contenues dans le présent document qui seraient trompeuses, inexactes ou non cohérentes avec les parties correspondantes du prospectus du </w:t>
      </w:r>
      <w:r w:rsidRPr="00C01180">
        <w:rPr>
          <w:rFonts w:asciiTheme="minorHAnsi" w:hAnsiTheme="minorHAnsi" w:cstheme="minorHAnsi"/>
          <w:color w:val="auto"/>
          <w:sz w:val="18"/>
          <w:szCs w:val="18"/>
        </w:rPr>
        <w:t>FCPE</w:t>
      </w:r>
      <w:r w:rsidR="00C46E91">
        <w:rPr>
          <w:rFonts w:asciiTheme="minorHAnsi" w:hAnsiTheme="minorHAnsi" w:cstheme="minorHAnsi"/>
          <w:iCs/>
          <w:color w:val="auto"/>
          <w:sz w:val="18"/>
          <w:szCs w:val="18"/>
        </w:rPr>
        <w:t xml:space="preserve"> </w:t>
      </w:r>
      <w:r w:rsidRPr="00C01180">
        <w:rPr>
          <w:rFonts w:asciiTheme="minorHAnsi" w:hAnsiTheme="minorHAnsi" w:cstheme="minorHAnsi"/>
          <w:iCs/>
          <w:color w:val="auto"/>
          <w:sz w:val="18"/>
          <w:szCs w:val="18"/>
        </w:rPr>
        <w:t>»</w:t>
      </w:r>
      <w:r w:rsidR="00C46E91">
        <w:rPr>
          <w:rFonts w:asciiTheme="minorHAnsi" w:hAnsiTheme="minorHAnsi" w:cstheme="minorHAnsi"/>
          <w:iCs/>
          <w:color w:val="auto"/>
          <w:sz w:val="18"/>
          <w:szCs w:val="18"/>
        </w:rPr>
        <w:t>.</w:t>
      </w:r>
      <w:r w:rsidRPr="00C01180">
        <w:rPr>
          <w:rFonts w:asciiTheme="minorHAnsi" w:hAnsiTheme="minorHAnsi" w:cstheme="minorHAnsi"/>
          <w:color w:val="auto"/>
          <w:sz w:val="18"/>
          <w:szCs w:val="18"/>
        </w:rPr>
        <w:t xml:space="preserve">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color w:val="auto"/>
          <w:sz w:val="18"/>
          <w:szCs w:val="18"/>
        </w:rPr>
        <w:t>- Information sur le fait que la législation fiscale dans le pays d’origine du FCPE pourrait avoir un impact sur les investisseurs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C01180">
        <w:rPr>
          <w:rFonts w:asciiTheme="minorHAnsi" w:hAnsiTheme="minorHAnsi" w:cstheme="minorHAnsi"/>
          <w:iCs/>
          <w:color w:val="auto"/>
          <w:sz w:val="18"/>
          <w:szCs w:val="18"/>
        </w:rPr>
        <w:t>- rôle, composition et mode de désignation du Conseil de surveillance </w:t>
      </w:r>
      <w:r w:rsidRPr="00C01180">
        <w:rPr>
          <w:rFonts w:asciiTheme="minorHAnsi" w:hAnsiTheme="minorHAnsi" w:cstheme="minorHAnsi"/>
          <w:color w:val="auto"/>
          <w:sz w:val="18"/>
          <w:szCs w:val="18"/>
        </w:rPr>
        <w:t>(si pertinent)</w:t>
      </w:r>
      <w:r w:rsidRPr="00C01180">
        <w:rPr>
          <w:rFonts w:asciiTheme="minorHAnsi" w:hAnsiTheme="minorHAnsi" w:cstheme="minorHAnsi"/>
          <w:iCs/>
          <w:color w:val="auto"/>
          <w:sz w:val="18"/>
          <w:szCs w:val="18"/>
        </w:rPr>
        <w:t xml:space="preserve">: à préciser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01180">
        <w:rPr>
          <w:rFonts w:asciiTheme="minorHAnsi" w:hAnsiTheme="minorHAnsi" w:cstheme="minorHAnsi"/>
          <w:iCs/>
          <w:color w:val="auto"/>
          <w:sz w:val="18"/>
          <w:szCs w:val="18"/>
        </w:rPr>
        <w:t>« La responsabilité de [insérer le nom de la société de gestion] ne peut être engagée que sur la base de déclarations contenues dans le présent document qui seraient trompeuses, inexactes ou non cohérentes avec les parties correspondantes du prospectus du FCPE. »</w:t>
      </w:r>
      <w:r w:rsidRPr="00C01180">
        <w:rPr>
          <w:rFonts w:asciiTheme="minorHAnsi" w:hAnsiTheme="minorHAnsi" w:cstheme="minorHAnsi"/>
          <w:color w:val="auto"/>
          <w:sz w:val="18"/>
          <w:szCs w:val="18"/>
        </w:rPr>
        <w:t xml:space="preserve">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
          <w:color w:val="auto"/>
          <w:sz w:val="18"/>
          <w:szCs w:val="18"/>
        </w:rPr>
      </w:pPr>
      <w:r w:rsidRPr="00C01180">
        <w:rPr>
          <w:rFonts w:asciiTheme="minorHAnsi" w:hAnsiTheme="minorHAnsi" w:cstheme="minorHAnsi"/>
          <w:i/>
          <w:iCs/>
          <w:color w:val="auto"/>
          <w:sz w:val="18"/>
          <w:szCs w:val="18"/>
        </w:rPr>
        <w:t>« Ce FCPE est agréé par l’AMF et réglementé par l’AMF.</w:t>
      </w:r>
      <w:r w:rsidRPr="00C01180">
        <w:rPr>
          <w:rFonts w:asciiTheme="minorHAnsi" w:hAnsiTheme="minorHAnsi" w:cstheme="minorHAnsi"/>
          <w:i/>
          <w:color w:val="auto"/>
          <w:sz w:val="18"/>
          <w:szCs w:val="18"/>
        </w:rPr>
        <w:t>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overflowPunct w:val="0"/>
        <w:spacing w:line="240" w:lineRule="atLeast"/>
        <w:jc w:val="both"/>
        <w:textAlignment w:val="baseline"/>
        <w:rPr>
          <w:rFonts w:asciiTheme="minorHAnsi" w:hAnsiTheme="minorHAnsi" w:cstheme="minorHAnsi"/>
          <w:i/>
          <w:color w:val="auto"/>
          <w:sz w:val="18"/>
          <w:szCs w:val="18"/>
        </w:rPr>
      </w:pPr>
      <w:r w:rsidRPr="00C01180">
        <w:rPr>
          <w:rFonts w:asciiTheme="minorHAnsi" w:hAnsiTheme="minorHAnsi" w:cstheme="minorHAnsi"/>
          <w:i/>
          <w:color w:val="auto"/>
          <w:sz w:val="18"/>
          <w:szCs w:val="18"/>
        </w:rPr>
        <w:t xml:space="preserve">« [Nom de la société de gestion] est agréée par [nom de l’État membre] et réglementée par [nom de l’autorité compétente]. » </w:t>
      </w:r>
    </w:p>
    <w:p w:rsidR="00C01180" w:rsidRPr="00C01180" w:rsidRDefault="00C01180" w:rsidP="00C01180">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
          <w:color w:val="auto"/>
          <w:sz w:val="18"/>
          <w:szCs w:val="18"/>
        </w:rPr>
      </w:pPr>
      <w:r w:rsidRPr="00C01180">
        <w:rPr>
          <w:rFonts w:asciiTheme="minorHAnsi" w:hAnsiTheme="minorHAnsi" w:cstheme="minorHAnsi"/>
          <w:i/>
          <w:iCs/>
          <w:color w:val="auto"/>
          <w:sz w:val="18"/>
          <w:szCs w:val="18"/>
        </w:rPr>
        <w:t>« Les informations clés pour l’investisseur ici fournies sont exactes et à</w:t>
      </w:r>
      <w:r>
        <w:rPr>
          <w:rFonts w:asciiTheme="minorHAnsi" w:hAnsiTheme="minorHAnsi" w:cstheme="minorHAnsi"/>
          <w:i/>
          <w:iCs/>
          <w:color w:val="auto"/>
          <w:sz w:val="18"/>
          <w:szCs w:val="18"/>
        </w:rPr>
        <w:t xml:space="preserve"> jour au [date de publication] </w:t>
      </w:r>
      <w:r w:rsidRPr="00C01180">
        <w:rPr>
          <w:rFonts w:asciiTheme="minorHAnsi" w:hAnsiTheme="minorHAnsi" w:cstheme="minorHAnsi"/>
          <w:i/>
          <w:iCs/>
          <w:color w:val="auto"/>
          <w:sz w:val="18"/>
          <w:szCs w:val="18"/>
        </w:rPr>
        <w:t>»</w:t>
      </w:r>
      <w:r w:rsidR="00143635">
        <w:rPr>
          <w:rFonts w:asciiTheme="minorHAnsi" w:hAnsiTheme="minorHAnsi" w:cstheme="minorHAnsi"/>
          <w:i/>
          <w:color w:val="FF9900"/>
          <w:sz w:val="18"/>
          <w:szCs w:val="18"/>
        </w:rPr>
        <w:t>.</w:t>
      </w:r>
    </w:p>
    <w:p w:rsidR="00C01180" w:rsidRDefault="00C01180" w:rsidP="00C01180">
      <w:pPr>
        <w:rPr>
          <w:rFonts w:cs="Arial"/>
          <w:szCs w:val="18"/>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p w:rsidR="00922AD8" w:rsidRPr="00996212" w:rsidRDefault="00922AD8" w:rsidP="005C6282">
      <w:pPr>
        <w:rPr>
          <w:rFonts w:asciiTheme="minorHAnsi" w:hAnsiTheme="minorHAnsi" w:cstheme="minorHAnsi"/>
          <w:sz w:val="20"/>
          <w:szCs w:val="20"/>
        </w:rPr>
      </w:pPr>
    </w:p>
    <w:sectPr w:rsidR="00922AD8" w:rsidRPr="00996212" w:rsidSect="00081395">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EUAlbertina">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78" w:rsidRDefault="00A72D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C40D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C40D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4C40D0">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4C40D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78" w:rsidRDefault="00A72D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A72D78" w:rsidRDefault="00A72D78">
    <w:pPr>
      <w:pStyle w:val="En-tte"/>
      <w:rPr>
        <w:rFonts w:asciiTheme="minorHAnsi" w:hAnsiTheme="minorHAnsi" w:cstheme="minorHAnsi"/>
        <w:sz w:val="18"/>
        <w:szCs w:val="18"/>
      </w:rPr>
    </w:pPr>
    <w:r w:rsidRPr="00A72D78">
      <w:rPr>
        <w:rFonts w:asciiTheme="minorHAnsi" w:hAnsiTheme="minorHAnsi" w:cstheme="minorHAnsi"/>
        <w:sz w:val="18"/>
        <w:szCs w:val="18"/>
      </w:rPr>
      <w:t xml:space="preserve">Plan-type du document d’information clé pour l’investisseur pour les FCPE relais </w:t>
    </w:r>
    <w:r>
      <w:rPr>
        <w:rFonts w:asciiTheme="minorHAnsi" w:hAnsiTheme="minorHAnsi" w:cstheme="minorHAnsi"/>
        <w:sz w:val="18"/>
        <w:szCs w:val="18"/>
      </w:rPr>
      <w:t xml:space="preserve">- </w:t>
    </w:r>
    <w:r w:rsidR="00ED225F">
      <w:rPr>
        <w:rFonts w:asciiTheme="minorHAnsi" w:hAnsiTheme="minorHAnsi" w:cstheme="minorHAnsi"/>
        <w:sz w:val="18"/>
        <w:szCs w:val="18"/>
      </w:rPr>
      <w:t xml:space="preserve">Annexe XII de l’instruction AMF </w:t>
    </w:r>
    <w:r>
      <w:rPr>
        <w:rFonts w:asciiTheme="minorHAnsi" w:hAnsiTheme="minorHAnsi" w:cstheme="minorHAnsi"/>
        <w:sz w:val="18"/>
        <w:szCs w:val="18"/>
      </w:rPr>
      <w:t xml:space="preserve">– </w:t>
    </w:r>
  </w:p>
  <w:p w:rsidR="00922AD8" w:rsidRPr="00922AD8" w:rsidRDefault="00ED225F">
    <w:pPr>
      <w:pStyle w:val="En-tte"/>
      <w:rPr>
        <w:rFonts w:asciiTheme="minorHAnsi" w:hAnsiTheme="minorHAnsi" w:cstheme="minorHAnsi"/>
        <w:sz w:val="18"/>
        <w:szCs w:val="18"/>
      </w:rPr>
    </w:pPr>
    <w:r>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3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3pt;height:28.3pt" o:bullet="t">
        <v:imagedata r:id="rId3" o:title="Fleche_jaune"/>
      </v:shape>
    </w:pict>
  </w:numPicBullet>
  <w:numPicBullet w:numPicBulletId="3">
    <w:pict>
      <v:shape id="_x0000_i1029" type="#_x0000_t75" style="width:28.3pt;height:28.3pt" o:bullet="t">
        <v:imagedata r:id="rId4" o:title="Fleche_aubergine"/>
      </v:shape>
    </w:pict>
  </w:numPicBullet>
  <w:numPicBullet w:numPicBulletId="4">
    <w:pict>
      <v:shape id="_x0000_i1030" type="#_x0000_t75" style="width:28.3pt;height:28.3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3"/>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2"/>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43635"/>
    <w:rsid w:val="001C06BA"/>
    <w:rsid w:val="0023233D"/>
    <w:rsid w:val="002434A6"/>
    <w:rsid w:val="002F705A"/>
    <w:rsid w:val="00365120"/>
    <w:rsid w:val="003B0015"/>
    <w:rsid w:val="00460571"/>
    <w:rsid w:val="00485A6F"/>
    <w:rsid w:val="004C40D0"/>
    <w:rsid w:val="005009B5"/>
    <w:rsid w:val="00511597"/>
    <w:rsid w:val="00593EDE"/>
    <w:rsid w:val="005C1100"/>
    <w:rsid w:val="005C6282"/>
    <w:rsid w:val="0066464A"/>
    <w:rsid w:val="00684FDF"/>
    <w:rsid w:val="006C4987"/>
    <w:rsid w:val="006E6631"/>
    <w:rsid w:val="007211C5"/>
    <w:rsid w:val="0075127A"/>
    <w:rsid w:val="007759C7"/>
    <w:rsid w:val="007A599F"/>
    <w:rsid w:val="007C2CD0"/>
    <w:rsid w:val="00826BA0"/>
    <w:rsid w:val="00835FC9"/>
    <w:rsid w:val="008A64B6"/>
    <w:rsid w:val="008B0776"/>
    <w:rsid w:val="008B2E32"/>
    <w:rsid w:val="009229FE"/>
    <w:rsid w:val="00922AD8"/>
    <w:rsid w:val="009522A4"/>
    <w:rsid w:val="0097706F"/>
    <w:rsid w:val="00996212"/>
    <w:rsid w:val="009D35DA"/>
    <w:rsid w:val="00A375FC"/>
    <w:rsid w:val="00A52761"/>
    <w:rsid w:val="00A72D78"/>
    <w:rsid w:val="00AC2B18"/>
    <w:rsid w:val="00AF529B"/>
    <w:rsid w:val="00C01180"/>
    <w:rsid w:val="00C109BF"/>
    <w:rsid w:val="00C46E91"/>
    <w:rsid w:val="00C96044"/>
    <w:rsid w:val="00D52CFD"/>
    <w:rsid w:val="00D55321"/>
    <w:rsid w:val="00D80A91"/>
    <w:rsid w:val="00E049BB"/>
    <w:rsid w:val="00E1204F"/>
    <w:rsid w:val="00E46668"/>
    <w:rsid w:val="00E66D10"/>
    <w:rsid w:val="00E74AAB"/>
    <w:rsid w:val="00E91345"/>
    <w:rsid w:val="00ED225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C85C8"/>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CelluleIntitul">
    <w:name w:val="Cellule Intitulé"/>
    <w:rsid w:val="00C01180"/>
    <w:pPr>
      <w:widowControl w:val="0"/>
      <w:suppressAutoHyphens/>
      <w:autoSpaceDE w:val="0"/>
      <w:autoSpaceDN w:val="0"/>
      <w:adjustRightInd w:val="0"/>
      <w:spacing w:line="280" w:lineRule="atLeast"/>
      <w:jc w:val="center"/>
    </w:pPr>
    <w:rPr>
      <w:color w:val="000000"/>
      <w:w w:val="0"/>
    </w:rPr>
  </w:style>
  <w:style w:type="paragraph" w:customStyle="1" w:styleId="Default">
    <w:name w:val="Default"/>
    <w:rsid w:val="00C01180"/>
    <w:pPr>
      <w:autoSpaceDE w:val="0"/>
      <w:autoSpaceDN w:val="0"/>
      <w:adjustRightInd w:val="0"/>
    </w:pPr>
    <w:rPr>
      <w:rFonts w:ascii="EUAlbertina" w:hAnsi="EUAlbertina" w:cs="EUAlberti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771</Words>
  <Characters>4244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11</cp:revision>
  <cp:lastPrinted>2010-11-05T13:58:00Z</cp:lastPrinted>
  <dcterms:created xsi:type="dcterms:W3CDTF">2019-08-20T12:46:00Z</dcterms:created>
  <dcterms:modified xsi:type="dcterms:W3CDTF">2019-10-09T09:29:00Z</dcterms:modified>
</cp:coreProperties>
</file>