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C74DFE"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74DFE" w:rsidRPr="00C74DFE">
        <w:rPr>
          <w:rFonts w:ascii="Arial" w:eastAsia="Times New Roman" w:hAnsi="Arial" w:cs="Arial"/>
          <w:iCs/>
          <w:caps w:val="0"/>
          <w:sz w:val="18"/>
          <w:szCs w:val="18"/>
          <w:lang w:eastAsia="en-US"/>
        </w:rPr>
        <w:t xml:space="preserve"> </w:t>
      </w:r>
      <w:r w:rsidR="00C74DFE" w:rsidRPr="00C74DFE">
        <w:rPr>
          <w:iCs/>
          <w:sz w:val="24"/>
          <w:szCs w:val="24"/>
        </w:rPr>
        <w:t>Plan type du prospectus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C74DFE" w:rsidRDefault="00C74DFE" w:rsidP="00C74DFE">
      <w:pPr>
        <w:pStyle w:val="AMFDate"/>
        <w:ind w:left="0"/>
        <w:jc w:val="both"/>
        <w:rPr>
          <w:rFonts w:asciiTheme="minorHAnsi" w:hAnsiTheme="minorHAnsi" w:cstheme="minorHAnsi"/>
          <w:szCs w:val="20"/>
        </w:rPr>
      </w:pPr>
      <w:r w:rsidRPr="00C74DFE">
        <w:rPr>
          <w:rFonts w:asciiTheme="minorHAnsi" w:hAnsiTheme="minorHAnsi" w:cstheme="minorHAnsi"/>
          <w:iCs/>
          <w:szCs w:val="20"/>
        </w:rPr>
        <w:t xml:space="preserve">Ce document constitue l’annexe XIV de l’instruction AMF </w:t>
      </w:r>
      <w:r w:rsidRPr="00C74DFE">
        <w:rPr>
          <w:rFonts w:asciiTheme="minorHAnsi" w:hAnsiTheme="minorHAnsi" w:cstheme="minorHAnsi"/>
          <w:szCs w:val="20"/>
        </w:rPr>
        <w:t>- Procédures d’agrément, établissement d’un DICI</w:t>
      </w:r>
      <w:r w:rsidRPr="00C74DFE">
        <w:rPr>
          <w:rFonts w:asciiTheme="minorHAnsi" w:hAnsiTheme="minorHAnsi" w:cstheme="minorHAnsi"/>
          <w:szCs w:val="20"/>
          <w:vertAlign w:val="superscript"/>
        </w:rPr>
        <w:footnoteReference w:id="1"/>
      </w:r>
      <w:r w:rsidRPr="00C74DFE">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Par méthode, le terme « FIA » est employé dans le plan type des prospectus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rsidR="0000727D" w:rsidRPr="0000727D" w:rsidRDefault="0000727D" w:rsidP="0000727D">
      <w:pPr>
        <w:jc w:val="both"/>
        <w:rPr>
          <w:rFonts w:asciiTheme="minorHAnsi" w:hAnsiTheme="minorHAnsi" w:cstheme="minorHAnsi"/>
          <w:sz w:val="20"/>
          <w:szCs w:val="20"/>
        </w:rPr>
      </w:pPr>
    </w:p>
    <w:p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 xml:space="preserve">Un cartouche indiquant que le </w:t>
      </w:r>
      <w:r w:rsidRPr="0000727D">
        <w:rPr>
          <w:rFonts w:asciiTheme="minorHAnsi" w:hAnsiTheme="minorHAnsi" w:cstheme="minorHAnsi"/>
          <w:bCs/>
          <w:iCs/>
          <w:sz w:val="20"/>
          <w:szCs w:val="20"/>
        </w:rPr>
        <w:t>fonds d’investissement à vocation générale, le fonds de fonds alternatifs ou le fonds professionnels à vocation générale</w:t>
      </w:r>
      <w:r w:rsidRPr="0000727D">
        <w:rPr>
          <w:rFonts w:asciiTheme="minorHAnsi" w:hAnsiTheme="minorHAnsi" w:cstheme="minorHAnsi"/>
          <w:sz w:val="20"/>
          <w:szCs w:val="20"/>
        </w:rPr>
        <w:t xml:space="preserve"> est soumis au droit français doit apparaitre en première page.</w:t>
      </w:r>
    </w:p>
    <w:p w:rsidR="0000727D" w:rsidRPr="0000727D" w:rsidRDefault="0000727D" w:rsidP="0000727D">
      <w:pPr>
        <w:jc w:val="both"/>
        <w:rPr>
          <w:rFonts w:asciiTheme="minorHAnsi" w:hAnsiTheme="minorHAnsi" w:cstheme="minorHAnsi"/>
          <w:sz w:val="20"/>
          <w:szCs w:val="20"/>
        </w:rPr>
      </w:pPr>
    </w:p>
    <w:p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d’investissement de la directive 2009/65/CE, il peut en faire état sous forme d’un cartouche.</w:t>
      </w:r>
    </w:p>
    <w:p w:rsidR="0000727D" w:rsidRPr="0000727D" w:rsidRDefault="0000727D" w:rsidP="0000727D">
      <w:pPr>
        <w:jc w:val="both"/>
        <w:rPr>
          <w:rFonts w:asciiTheme="minorHAnsi" w:hAnsiTheme="minorHAnsi" w:cstheme="minorHAnsi"/>
          <w:sz w:val="20"/>
          <w:szCs w:val="20"/>
        </w:rPr>
      </w:pPr>
    </w:p>
    <w:p w:rsidR="00922AD8" w:rsidRPr="00AE69D0"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d’information de la directive 2009/65/CE, y compris publication d’un DICI, il peut en faire état sous forme d’un cartouche.</w:t>
      </w:r>
    </w:p>
    <w:p w:rsidR="00922AD8" w:rsidRPr="00AE69D0" w:rsidRDefault="00922AD8" w:rsidP="00AE69D0">
      <w:pPr>
        <w:jc w:val="both"/>
        <w:rPr>
          <w:rFonts w:asciiTheme="minorHAnsi" w:hAnsiTheme="minorHAnsi" w:cstheme="minorHAnsi"/>
          <w:sz w:val="20"/>
          <w:szCs w:val="20"/>
        </w:rPr>
      </w:pPr>
    </w:p>
    <w:p w:rsidR="00922AD8" w:rsidRPr="00306729" w:rsidRDefault="00306729" w:rsidP="00306729">
      <w:pPr>
        <w:pStyle w:val="AMFDate"/>
        <w:ind w:left="0"/>
        <w:jc w:val="left"/>
        <w:outlineLvl w:val="0"/>
        <w:rPr>
          <w:rFonts w:asciiTheme="minorHAnsi" w:hAnsiTheme="minorHAnsi" w:cstheme="minorHAnsi"/>
          <w:b w:val="0"/>
          <w:szCs w:val="20"/>
        </w:rPr>
      </w:pPr>
      <w:r w:rsidRPr="00306729">
        <w:rPr>
          <w:rFonts w:asciiTheme="minorHAnsi" w:hAnsiTheme="minorHAnsi" w:cstheme="minorHAnsi"/>
          <w:b w:val="0"/>
          <w:szCs w:val="20"/>
        </w:rPr>
        <w:t>1.</w:t>
      </w:r>
      <w:r w:rsidRPr="00306729">
        <w:rPr>
          <w:rFonts w:asciiTheme="minorHAnsi" w:hAnsiTheme="minorHAnsi" w:cstheme="minorHAnsi"/>
          <w:b w:val="0"/>
          <w:szCs w:val="20"/>
        </w:rPr>
        <w:tab/>
      </w:r>
      <w:r w:rsidRPr="00306729">
        <w:rPr>
          <w:rFonts w:asciiTheme="minorHAnsi" w:hAnsiTheme="minorHAnsi" w:cstheme="minorHAnsi"/>
          <w:b w:val="0"/>
          <w:caps/>
          <w:szCs w:val="20"/>
        </w:rPr>
        <w:t>Caractéristiques générales</w:t>
      </w:r>
      <w:r w:rsidR="002544A7" w:rsidRPr="00306729">
        <w:rPr>
          <w:rFonts w:asciiTheme="minorHAnsi" w:hAnsiTheme="minorHAnsi" w:cstheme="minorHAnsi"/>
          <w:b w:val="0"/>
          <w:szCs w:val="20"/>
        </w:rPr>
        <w:tab/>
      </w:r>
    </w:p>
    <w:p w:rsidR="00922AD8" w:rsidRPr="00AE69D0" w:rsidRDefault="00922AD8" w:rsidP="00AE69D0">
      <w:pPr>
        <w:jc w:val="both"/>
        <w:rPr>
          <w:rFonts w:asciiTheme="minorHAnsi" w:hAnsiTheme="minorHAnsi" w:cstheme="minorHAnsi"/>
          <w:sz w:val="20"/>
          <w:szCs w:val="20"/>
        </w:rPr>
      </w:pPr>
    </w:p>
    <w:p w:rsidR="00306729" w:rsidRPr="00306729" w:rsidRDefault="00306729" w:rsidP="00306729">
      <w:pPr>
        <w:jc w:val="both"/>
        <w:rPr>
          <w:rFonts w:asciiTheme="minorHAnsi" w:hAnsiTheme="minorHAnsi" w:cstheme="minorHAnsi"/>
          <w:sz w:val="20"/>
          <w:szCs w:val="20"/>
        </w:rPr>
      </w:pPr>
      <w:r w:rsidRPr="00306729">
        <w:rPr>
          <w:rFonts w:asciiTheme="minorHAnsi" w:hAnsiTheme="minorHAnsi" w:cstheme="minorHAnsi"/>
          <w:sz w:val="20"/>
          <w:szCs w:val="20"/>
        </w:rPr>
        <w:t>Cette rubrique comporte les ca</w:t>
      </w:r>
      <w:r>
        <w:rPr>
          <w:rFonts w:asciiTheme="minorHAnsi" w:hAnsiTheme="minorHAnsi" w:cstheme="minorHAnsi"/>
          <w:sz w:val="20"/>
          <w:szCs w:val="20"/>
        </w:rPr>
        <w:t>ractéristiques générales du FIA.</w:t>
      </w:r>
    </w:p>
    <w:p w:rsidR="00922AD8" w:rsidRPr="00AE69D0" w:rsidRDefault="00922AD8" w:rsidP="00AE69D0">
      <w:pPr>
        <w:jc w:val="both"/>
        <w:rPr>
          <w:rFonts w:asciiTheme="minorHAnsi" w:hAnsiTheme="minorHAnsi" w:cstheme="minorHAnsi"/>
          <w:sz w:val="20"/>
          <w:szCs w:val="20"/>
        </w:rPr>
      </w:pPr>
    </w:p>
    <w:p w:rsidR="00922AD8" w:rsidRPr="00306729"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Cs/>
          <w:sz w:val="20"/>
          <w:szCs w:val="19"/>
        </w:rPr>
        <w:t xml:space="preserve"> </w:t>
      </w:r>
      <w:r>
        <w:rPr>
          <w:rFonts w:asciiTheme="minorHAnsi" w:eastAsiaTheme="minorEastAsia" w:hAnsiTheme="minorHAnsi" w:cstheme="minorHAnsi"/>
          <w:bCs/>
          <w:sz w:val="20"/>
          <w:szCs w:val="19"/>
        </w:rPr>
        <w:tab/>
      </w:r>
      <w:r w:rsidR="00306729" w:rsidRPr="00306729">
        <w:rPr>
          <w:rFonts w:asciiTheme="minorHAnsi" w:eastAsiaTheme="minorEastAsia" w:hAnsiTheme="minorHAnsi" w:cstheme="minorHAnsi"/>
          <w:b/>
          <w:bCs/>
          <w:sz w:val="20"/>
          <w:szCs w:val="19"/>
        </w:rPr>
        <w:t>Forme du FIA </w:t>
      </w:r>
    </w:p>
    <w:p w:rsidR="00DD0F5F" w:rsidRDefault="00DD0F5F" w:rsidP="008B0608">
      <w:pPr>
        <w:jc w:val="both"/>
        <w:rPr>
          <w:rFonts w:asciiTheme="minorHAnsi" w:hAnsiTheme="minorHAnsi" w:cstheme="minorHAnsi"/>
          <w:sz w:val="20"/>
          <w:szCs w:val="20"/>
        </w:rPr>
      </w:pPr>
    </w:p>
    <w:p w:rsidR="008B0608" w:rsidRPr="008B0608" w:rsidRDefault="008B0608" w:rsidP="008B0608">
      <w:pPr>
        <w:jc w:val="both"/>
        <w:rPr>
          <w:rFonts w:asciiTheme="minorHAnsi" w:hAnsiTheme="minorHAnsi" w:cstheme="minorHAnsi"/>
          <w:sz w:val="20"/>
          <w:szCs w:val="20"/>
        </w:rPr>
      </w:pPr>
      <w:r w:rsidRPr="008B0608">
        <w:rPr>
          <w:rFonts w:asciiTheme="minorHAnsi" w:hAnsiTheme="minorHAnsi" w:cstheme="minorHAnsi"/>
          <w:sz w:val="20"/>
          <w:szCs w:val="20"/>
        </w:rPr>
        <w:t>a) S’il s’agit d’un fonds professionnel à vocation générale régi par les articles R. 214-187 R. 214-193 du code monétaire et financier et en application de l‘articles 423-9 du règlement général de l’AMF ou d’un fonds de fonds alternatifs régi par les articles R. 214-183 à R. 214-186 du code monétaire et financier, le prospectus</w:t>
      </w:r>
      <w:r w:rsidRPr="008B0608" w:rsidDel="00643BF1">
        <w:rPr>
          <w:rFonts w:asciiTheme="minorHAnsi" w:hAnsiTheme="minorHAnsi" w:cstheme="minorHAnsi"/>
          <w:sz w:val="20"/>
          <w:szCs w:val="20"/>
        </w:rPr>
        <w:t xml:space="preserve"> </w:t>
      </w:r>
      <w:r w:rsidRPr="008B0608">
        <w:rPr>
          <w:rFonts w:asciiTheme="minorHAnsi" w:hAnsiTheme="minorHAnsi" w:cstheme="minorHAnsi"/>
          <w:sz w:val="20"/>
          <w:szCs w:val="20"/>
        </w:rPr>
        <w:t xml:space="preserve">débute par l’avertissement suivant : </w:t>
      </w:r>
    </w:p>
    <w:p w:rsidR="005F56D8" w:rsidRPr="005C6282" w:rsidRDefault="005F56D8" w:rsidP="005F56D8">
      <w:pPr>
        <w:spacing w:line="360" w:lineRule="auto"/>
        <w:jc w:val="both"/>
        <w:rPr>
          <w:rFonts w:ascii="Calibri" w:hAnsi="Calibri" w:cs="Arial"/>
          <w:b/>
          <w:sz w:val="20"/>
          <w:szCs w:val="22"/>
          <w:u w:val="single"/>
        </w:rPr>
      </w:pPr>
    </w:p>
    <w:p w:rsidR="005F56D8" w:rsidRPr="005F56D8" w:rsidRDefault="005F56D8" w:rsidP="005F56D8">
      <w:pPr>
        <w:pStyle w:val="AMFDoctrineEncadr"/>
        <w:rPr>
          <w:b w:val="0"/>
        </w:rPr>
      </w:pPr>
      <w:r w:rsidRPr="005F56D8">
        <w:rPr>
          <w:b w:val="0"/>
        </w:rPr>
        <w:t>« Le FIA X est un [fonds professionnel à vocation générale/ fonds de fonds alternatifs]. Il n’est pas soumis aux mêmes règles que les fonds d’investissement à vocation générale et peut donc être plus risqué. Seules les personnes mentionnées à la rubrique « souscripteurs concernés » peuvent acheter des [parts/actions] du FIA X.</w:t>
      </w:r>
      <w:r>
        <w:rPr>
          <w:b w:val="0"/>
        </w:rPr>
        <w:t xml:space="preserve"> </w:t>
      </w:r>
      <w:r w:rsidRPr="005F56D8">
        <w:rPr>
          <w:b w:val="0"/>
        </w:rPr>
        <w:t>»</w:t>
      </w:r>
    </w:p>
    <w:p w:rsidR="005F56D8" w:rsidRPr="00AE69D0" w:rsidRDefault="005F56D8" w:rsidP="005F56D8">
      <w:pPr>
        <w:jc w:val="both"/>
        <w:rPr>
          <w:rFonts w:asciiTheme="minorHAnsi" w:hAnsiTheme="minorHAnsi" w:cstheme="minorHAnsi"/>
          <w:sz w:val="20"/>
          <w:szCs w:val="20"/>
        </w:rPr>
      </w:pPr>
    </w:p>
    <w:p w:rsidR="00922AD8" w:rsidRPr="00AE69D0" w:rsidRDefault="00013EA1" w:rsidP="00AE69D0">
      <w:pPr>
        <w:jc w:val="both"/>
        <w:rPr>
          <w:rFonts w:asciiTheme="minorHAnsi" w:hAnsiTheme="minorHAnsi" w:cstheme="minorHAnsi"/>
          <w:sz w:val="20"/>
          <w:szCs w:val="20"/>
        </w:rPr>
      </w:pPr>
      <w:r w:rsidRPr="00013EA1">
        <w:rPr>
          <w:rFonts w:asciiTheme="minorHAnsi" w:hAnsiTheme="minorHAnsi" w:cstheme="minorHAnsi"/>
          <w:sz w:val="20"/>
          <w:szCs w:val="20"/>
        </w:rPr>
        <w:t>b) Lorsque le FIA est uniquement commercialisé à l’étranger et que la souscription et l’acquisition des parts ou actions de ce fonds professionnel à vocation générale ou de ce fonds de fonds alternatifs sont réservées aux investisseurs non-résidents en France, l’avertissement suivant se substitue au précédent :</w:t>
      </w:r>
    </w:p>
    <w:p w:rsidR="00922AD8" w:rsidRPr="00AE69D0" w:rsidRDefault="00922AD8" w:rsidP="00AE69D0">
      <w:pPr>
        <w:jc w:val="both"/>
        <w:rPr>
          <w:rFonts w:asciiTheme="minorHAnsi" w:hAnsiTheme="minorHAnsi" w:cstheme="minorHAnsi"/>
          <w:sz w:val="20"/>
          <w:szCs w:val="20"/>
        </w:rPr>
      </w:pPr>
    </w:p>
    <w:p w:rsidR="00013EA1" w:rsidRPr="00013EA1" w:rsidRDefault="00013EA1" w:rsidP="00013EA1">
      <w:pPr>
        <w:pStyle w:val="AMFDoctrineEncadr"/>
        <w:spacing w:line="360" w:lineRule="auto"/>
        <w:rPr>
          <w:b w:val="0"/>
        </w:rPr>
      </w:pPr>
      <w:r w:rsidRPr="00013EA1">
        <w:rPr>
          <w:b w:val="0"/>
        </w:rPr>
        <w:t>« Le FIA X est un fonds professionnel à vocation générale/ fonds de fonds alternatifs]. Il n’est pas soumis aux mêmes règles que les fonds d’investissement à vocation générale et peut donc être plus risqué. Ce FIA n’est pas commercialisé en France ou auprès de résidents français, seules les personnes mentionnées à la rubrique « souscripteurs concernés » peuvent acheter des [parts/actions] du FIA X. »</w:t>
      </w:r>
    </w:p>
    <w:p w:rsidR="00013EA1" w:rsidRPr="00AE69D0" w:rsidRDefault="00013EA1" w:rsidP="00013EA1">
      <w:pPr>
        <w:jc w:val="both"/>
        <w:rPr>
          <w:rFonts w:asciiTheme="minorHAnsi" w:hAnsiTheme="minorHAnsi" w:cstheme="minorHAnsi"/>
          <w:sz w:val="20"/>
          <w:szCs w:val="20"/>
        </w:rPr>
      </w:pPr>
    </w:p>
    <w:p w:rsidR="00922AD8"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lastRenderedPageBreak/>
        <w:t xml:space="preserve"> </w:t>
      </w:r>
      <w:r>
        <w:rPr>
          <w:rFonts w:asciiTheme="minorHAnsi" w:eastAsiaTheme="minorEastAsia" w:hAnsiTheme="minorHAnsi" w:cstheme="minorHAnsi"/>
          <w:b/>
          <w:bCs/>
          <w:sz w:val="20"/>
          <w:szCs w:val="19"/>
        </w:rPr>
        <w:tab/>
      </w:r>
      <w:r w:rsidRPr="0041710F">
        <w:rPr>
          <w:rFonts w:asciiTheme="minorHAnsi" w:eastAsiaTheme="minorEastAsia" w:hAnsiTheme="minorHAnsi" w:cstheme="minorHAnsi"/>
          <w:b/>
          <w:bCs/>
          <w:sz w:val="20"/>
          <w:szCs w:val="19"/>
        </w:rPr>
        <w:t>Dénomination</w:t>
      </w:r>
    </w:p>
    <w:p w:rsidR="00DD0F5F" w:rsidRPr="00DD0F5F" w:rsidRDefault="00DD0F5F" w:rsidP="00DD0F5F">
      <w:pPr>
        <w:jc w:val="both"/>
        <w:outlineLvl w:val="1"/>
        <w:rPr>
          <w:rFonts w:asciiTheme="minorHAnsi" w:eastAsiaTheme="minorEastAsia" w:hAnsiTheme="minorHAnsi" w:cstheme="minorHAnsi"/>
          <w:b/>
          <w:bCs/>
          <w:sz w:val="20"/>
          <w:szCs w:val="19"/>
        </w:rPr>
      </w:pPr>
    </w:p>
    <w:p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Pour les FCP, dénomination ;</w:t>
      </w:r>
    </w:p>
    <w:p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 xml:space="preserve">Pour les SICAV, dénomination ou raison sociale, siège social et adresse postale si celle-ci </w:t>
      </w:r>
      <w:r>
        <w:rPr>
          <w:rFonts w:asciiTheme="minorHAnsi" w:hAnsiTheme="minorHAnsi" w:cstheme="minorHAnsi"/>
          <w:sz w:val="20"/>
          <w:szCs w:val="20"/>
        </w:rPr>
        <w:t>est différente.</w:t>
      </w:r>
    </w:p>
    <w:p w:rsidR="00922AD8" w:rsidRPr="00AE69D0" w:rsidRDefault="00922AD8" w:rsidP="00AE69D0">
      <w:pPr>
        <w:jc w:val="both"/>
        <w:rPr>
          <w:rFonts w:asciiTheme="minorHAnsi" w:hAnsiTheme="minorHAnsi" w:cstheme="minorHAnsi"/>
          <w:sz w:val="20"/>
          <w:szCs w:val="20"/>
        </w:rPr>
      </w:pPr>
    </w:p>
    <w:p w:rsidR="00922AD8" w:rsidRPr="00E7509F" w:rsidRDefault="00E7509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E7509F">
        <w:rPr>
          <w:rFonts w:asciiTheme="minorHAnsi" w:eastAsiaTheme="minorEastAsia" w:hAnsiTheme="minorHAnsi" w:cstheme="minorHAnsi"/>
          <w:b/>
          <w:bCs/>
          <w:sz w:val="20"/>
          <w:szCs w:val="19"/>
        </w:rPr>
        <w:t>Date de création et durée d'existence prévue </w:t>
      </w:r>
    </w:p>
    <w:p w:rsidR="00922AD8" w:rsidRPr="00AE69D0" w:rsidRDefault="00922AD8" w:rsidP="00AE69D0">
      <w:pPr>
        <w:jc w:val="both"/>
        <w:rPr>
          <w:rFonts w:asciiTheme="minorHAnsi" w:hAnsiTheme="minorHAnsi" w:cstheme="minorHAnsi"/>
          <w:sz w:val="20"/>
          <w:szCs w:val="20"/>
        </w:rPr>
      </w:pPr>
    </w:p>
    <w:p w:rsidR="00922AD8" w:rsidRDefault="0015615E"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15615E">
        <w:rPr>
          <w:rFonts w:asciiTheme="minorHAnsi" w:eastAsiaTheme="minorEastAsia" w:hAnsiTheme="minorHAnsi" w:cstheme="minorHAnsi"/>
          <w:b/>
          <w:bCs/>
          <w:sz w:val="20"/>
          <w:szCs w:val="19"/>
        </w:rPr>
        <w:t>Synthèse de l'offre de gestion</w:t>
      </w:r>
    </w:p>
    <w:p w:rsidR="00DD0F5F" w:rsidRPr="00DD0F5F" w:rsidRDefault="00DD0F5F" w:rsidP="00DD0F5F">
      <w:pPr>
        <w:jc w:val="both"/>
        <w:outlineLvl w:val="1"/>
        <w:rPr>
          <w:rFonts w:asciiTheme="minorHAnsi" w:eastAsiaTheme="minorEastAsia" w:hAnsiTheme="minorHAnsi" w:cstheme="minorHAnsi"/>
          <w:b/>
          <w:bCs/>
          <w:sz w:val="20"/>
          <w:szCs w:val="19"/>
        </w:rPr>
      </w:pPr>
    </w:p>
    <w:p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 xml:space="preserve">Rappel des compartiments et des différentes catégories de parts ; </w:t>
      </w:r>
    </w:p>
    <w:p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Souscripteurs concernés ;</w:t>
      </w:r>
    </w:p>
    <w:p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Montant minimum de souscription pour chaque compartiment / type de parts ;</w:t>
      </w:r>
    </w:p>
    <w:p w:rsidR="00BD3326" w:rsidRPr="00BD3326" w:rsidRDefault="00BD3326" w:rsidP="00C92C0A">
      <w:pPr>
        <w:pStyle w:val="Paragraphedeliste"/>
        <w:numPr>
          <w:ilvl w:val="0"/>
          <w:numId w:val="8"/>
        </w:numPr>
        <w:jc w:val="both"/>
        <w:rPr>
          <w:rFonts w:asciiTheme="minorHAnsi" w:hAnsiTheme="minorHAnsi" w:cstheme="minorHAnsi"/>
          <w:sz w:val="20"/>
          <w:szCs w:val="20"/>
        </w:rPr>
      </w:pPr>
      <w:r>
        <w:rPr>
          <w:rFonts w:asciiTheme="minorHAnsi" w:hAnsiTheme="minorHAnsi" w:cstheme="minorHAnsi"/>
          <w:sz w:val="20"/>
          <w:szCs w:val="20"/>
        </w:rPr>
        <w:t>Code ISIN.</w:t>
      </w:r>
    </w:p>
    <w:p w:rsidR="0067174A" w:rsidRPr="0067174A" w:rsidRDefault="0067174A" w:rsidP="0067174A">
      <w:pPr>
        <w:jc w:val="both"/>
        <w:rPr>
          <w:rFonts w:asciiTheme="minorHAnsi" w:hAnsiTheme="minorHAnsi" w:cstheme="minorHAnsi"/>
          <w:sz w:val="20"/>
          <w:szCs w:val="20"/>
        </w:rPr>
      </w:pPr>
      <w:r w:rsidRPr="0067174A">
        <w:rPr>
          <w:rFonts w:asciiTheme="minorHAnsi" w:hAnsiTheme="minorHAnsi" w:cstheme="minorHAnsi"/>
          <w:sz w:val="20"/>
          <w:szCs w:val="20"/>
        </w:rPr>
        <w:t>Ces informations sont présentées sous la forme d’un tableau récapitulatif pour permettre une bonne lisibilité de l’ensemble de l’offre de gestion.</w:t>
      </w:r>
    </w:p>
    <w:p w:rsidR="00922AD8" w:rsidRPr="00AE69D0" w:rsidRDefault="00922AD8" w:rsidP="00AE69D0">
      <w:pPr>
        <w:jc w:val="both"/>
        <w:rPr>
          <w:rFonts w:asciiTheme="minorHAnsi" w:hAnsiTheme="minorHAnsi" w:cstheme="minorHAnsi"/>
          <w:sz w:val="20"/>
          <w:szCs w:val="20"/>
        </w:rPr>
      </w:pPr>
    </w:p>
    <w:p w:rsidR="00922AD8" w:rsidRPr="00AE69D0" w:rsidRDefault="00140E6E" w:rsidP="00AE69D0">
      <w:pPr>
        <w:jc w:val="both"/>
        <w:rPr>
          <w:rFonts w:asciiTheme="minorHAnsi" w:hAnsiTheme="minorHAnsi" w:cstheme="minorHAnsi"/>
          <w:sz w:val="20"/>
          <w:szCs w:val="20"/>
        </w:rPr>
      </w:pPr>
      <w:r w:rsidRPr="00140E6E">
        <w:rPr>
          <w:rFonts w:asciiTheme="minorHAnsi" w:hAnsiTheme="minorHAnsi" w:cstheme="minorHAnsi"/>
          <w:sz w:val="20"/>
          <w:szCs w:val="20"/>
        </w:rPr>
        <w:t>Exemple :</w:t>
      </w:r>
    </w:p>
    <w:p w:rsidR="00922AD8" w:rsidRPr="00AE69D0" w:rsidRDefault="00140E6E" w:rsidP="00140E6E">
      <w:pPr>
        <w:jc w:val="center"/>
        <w:rPr>
          <w:rFonts w:asciiTheme="minorHAnsi" w:hAnsiTheme="minorHAnsi" w:cstheme="minorHAnsi"/>
          <w:sz w:val="20"/>
          <w:szCs w:val="20"/>
        </w:rPr>
      </w:pPr>
      <w:r w:rsidRPr="00140E6E">
        <w:rPr>
          <w:rFonts w:asciiTheme="minorHAnsi" w:hAnsiTheme="minorHAnsi" w:cstheme="minorHAnsi"/>
          <w:sz w:val="20"/>
          <w:szCs w:val="20"/>
        </w:rPr>
        <w:t>Compartiment n° 1</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140E6E" w:rsidRPr="00140E6E"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Caractéristiques</w:t>
            </w:r>
          </w:p>
        </w:tc>
      </w:tr>
      <w:tr w:rsidR="00140E6E" w:rsidRPr="00140E6E"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etc.</w:t>
            </w:r>
          </w:p>
        </w:tc>
      </w:tr>
      <w:tr w:rsidR="00140E6E" w:rsidRPr="00140E6E"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140E6E" w:rsidRPr="00140E6E"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rsidR="00922AD8" w:rsidRPr="00AE69D0" w:rsidRDefault="00922AD8" w:rsidP="00AE69D0">
      <w:pPr>
        <w:jc w:val="both"/>
        <w:rPr>
          <w:rFonts w:asciiTheme="minorHAnsi" w:hAnsiTheme="minorHAnsi" w:cstheme="minorHAnsi"/>
          <w:sz w:val="20"/>
          <w:szCs w:val="20"/>
        </w:rPr>
      </w:pPr>
    </w:p>
    <w:p w:rsidR="00922AD8" w:rsidRPr="00AE69D0" w:rsidRDefault="00A8223D" w:rsidP="00A8223D">
      <w:pPr>
        <w:jc w:val="center"/>
        <w:rPr>
          <w:rFonts w:asciiTheme="minorHAnsi" w:hAnsiTheme="minorHAnsi" w:cstheme="minorHAnsi"/>
          <w:sz w:val="20"/>
          <w:szCs w:val="20"/>
        </w:rPr>
      </w:pPr>
      <w:r w:rsidRPr="00A8223D">
        <w:rPr>
          <w:rFonts w:asciiTheme="minorHAnsi" w:hAnsiTheme="minorHAnsi" w:cstheme="minorHAnsi"/>
          <w:sz w:val="20"/>
          <w:szCs w:val="20"/>
        </w:rPr>
        <w:t>Compartiment n° 2</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A8223D" w:rsidRPr="00A8223D"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Caractéristiques</w:t>
            </w:r>
          </w:p>
        </w:tc>
      </w:tr>
      <w:tr w:rsidR="00A8223D" w:rsidRPr="00A8223D"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etc.</w:t>
            </w:r>
          </w:p>
        </w:tc>
      </w:tr>
      <w:tr w:rsidR="00A8223D" w:rsidRPr="00A8223D"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A8223D" w:rsidRPr="00A8223D"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rsidR="00922AD8" w:rsidRDefault="00922AD8" w:rsidP="00AE69D0">
      <w:pPr>
        <w:jc w:val="both"/>
        <w:rPr>
          <w:rFonts w:asciiTheme="minorHAnsi" w:hAnsiTheme="minorHAnsi" w:cstheme="minorHAnsi"/>
          <w:sz w:val="20"/>
          <w:szCs w:val="20"/>
        </w:rPr>
      </w:pPr>
    </w:p>
    <w:p w:rsidR="00DD0F5F" w:rsidRDefault="00DD0F5F" w:rsidP="00AE69D0">
      <w:pPr>
        <w:jc w:val="both"/>
        <w:rPr>
          <w:rFonts w:asciiTheme="minorHAnsi" w:hAnsiTheme="minorHAnsi" w:cstheme="minorHAnsi"/>
          <w:sz w:val="20"/>
          <w:szCs w:val="20"/>
        </w:rPr>
      </w:pPr>
    </w:p>
    <w:p w:rsidR="00DD0F5F" w:rsidRPr="00AE69D0" w:rsidRDefault="00DD0F5F" w:rsidP="00AE69D0">
      <w:pPr>
        <w:jc w:val="both"/>
        <w:rPr>
          <w:rFonts w:asciiTheme="minorHAnsi" w:hAnsiTheme="minorHAnsi" w:cstheme="minorHAnsi"/>
          <w:sz w:val="20"/>
          <w:szCs w:val="20"/>
        </w:rPr>
      </w:pPr>
    </w:p>
    <w:p w:rsidR="00B920D4" w:rsidRPr="00B920D4" w:rsidRDefault="00B920D4" w:rsidP="00C92C0A">
      <w:pPr>
        <w:pStyle w:val="Paragraphedeliste"/>
        <w:numPr>
          <w:ilvl w:val="1"/>
          <w:numId w:val="6"/>
        </w:numPr>
        <w:ind w:left="567" w:hanging="567"/>
        <w:jc w:val="both"/>
        <w:outlineLvl w:val="1"/>
        <w:rPr>
          <w:rFonts w:asciiTheme="minorHAnsi" w:hAnsiTheme="minorHAnsi" w:cstheme="minorHAnsi"/>
          <w:sz w:val="20"/>
          <w:szCs w:val="20"/>
        </w:rPr>
      </w:pPr>
      <w:r w:rsidRPr="00B920D4">
        <w:rPr>
          <w:rFonts w:asciiTheme="minorHAnsi" w:eastAsiaTheme="minorEastAsia" w:hAnsiTheme="minorHAnsi" w:cstheme="minorHAnsi"/>
          <w:b/>
          <w:bCs/>
          <w:sz w:val="20"/>
          <w:szCs w:val="19"/>
        </w:rPr>
        <w:t>Indication du lieu où l'on peut se procurer le règlement du FCP/les statuts de la SICAV s’ils ne sont pas annexés, le dernier rapport annuel, le dernier état périodique, la dernière valeur liquidative du FIA ainsi que, le cas échéant, l’information sur ses performances passées.</w:t>
      </w:r>
    </w:p>
    <w:p w:rsidR="00922AD8" w:rsidRPr="00AE69D0" w:rsidRDefault="00922AD8" w:rsidP="00AE69D0">
      <w:pPr>
        <w:jc w:val="both"/>
        <w:rPr>
          <w:rFonts w:asciiTheme="minorHAnsi" w:hAnsiTheme="minorHAnsi" w:cstheme="minorHAnsi"/>
          <w:sz w:val="20"/>
          <w:szCs w:val="20"/>
        </w:rPr>
      </w:pPr>
    </w:p>
    <w:p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Les derniers documents annuels ainsi que la composition des actifs sont adressés dans un délai de huit jours ouvrés semaine sur simple demande écrite du porteur auprès de :</w:t>
      </w:r>
    </w:p>
    <w:p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Raison sociale</w:t>
      </w:r>
    </w:p>
    <w:p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Adresse</w:t>
      </w:r>
    </w:p>
    <w:p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(Tél. éventuellement)</w:t>
      </w:r>
    </w:p>
    <w:p w:rsidR="00B920D4" w:rsidRPr="00B920D4" w:rsidRDefault="00B920D4" w:rsidP="00B920D4">
      <w:pPr>
        <w:jc w:val="both"/>
        <w:rPr>
          <w:rFonts w:asciiTheme="minorHAnsi" w:hAnsiTheme="minorHAnsi" w:cstheme="minorHAnsi"/>
          <w:sz w:val="20"/>
          <w:szCs w:val="20"/>
          <w:u w:val="single"/>
        </w:rPr>
      </w:pPr>
      <w:r w:rsidRPr="00B920D4">
        <w:rPr>
          <w:rFonts w:asciiTheme="minorHAnsi" w:hAnsiTheme="minorHAnsi" w:cstheme="minorHAnsi"/>
          <w:sz w:val="20"/>
          <w:szCs w:val="20"/>
        </w:rPr>
        <w:t xml:space="preserve">E-mail : </w:t>
      </w:r>
      <w:r w:rsidRPr="00B920D4">
        <w:rPr>
          <w:rFonts w:asciiTheme="minorHAnsi" w:hAnsiTheme="minorHAnsi" w:cstheme="minorHAnsi"/>
          <w:sz w:val="20"/>
          <w:szCs w:val="20"/>
          <w:u w:val="single"/>
        </w:rPr>
        <w:t>demande@société.fr</w:t>
      </w:r>
    </w:p>
    <w:p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 xml:space="preserve">Ces documents sont également disponibles sur le site </w:t>
      </w:r>
      <w:r w:rsidRPr="00B920D4">
        <w:rPr>
          <w:rFonts w:asciiTheme="minorHAnsi" w:hAnsiTheme="minorHAnsi" w:cstheme="minorHAnsi"/>
          <w:sz w:val="20"/>
          <w:szCs w:val="20"/>
          <w:u w:val="single"/>
        </w:rPr>
        <w:t>www.société.fr,</w:t>
      </w:r>
      <w:r w:rsidRPr="00B920D4">
        <w:rPr>
          <w:rFonts w:asciiTheme="minorHAnsi" w:hAnsiTheme="minorHAnsi" w:cstheme="minorHAnsi"/>
          <w:sz w:val="20"/>
          <w:szCs w:val="20"/>
        </w:rPr>
        <w:t xml:space="preserve"> (le cas échéant)</w:t>
      </w:r>
    </w:p>
    <w:p w:rsidR="00922AD8" w:rsidRPr="00AE69D0"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lastRenderedPageBreak/>
        <w:t>Désignation d'un point de contact (personne/service, moment, etc.) où des explications supplémentaires peuvent être obtenues si nécessaire.</w:t>
      </w:r>
    </w:p>
    <w:p w:rsidR="00922AD8" w:rsidRPr="00AE69D0" w:rsidRDefault="00922AD8" w:rsidP="00AE69D0">
      <w:pPr>
        <w:jc w:val="both"/>
        <w:rPr>
          <w:rFonts w:asciiTheme="minorHAnsi" w:hAnsiTheme="minorHAnsi" w:cstheme="minorHAnsi"/>
          <w:sz w:val="20"/>
          <w:szCs w:val="20"/>
        </w:rPr>
      </w:pPr>
    </w:p>
    <w:p w:rsidR="00922AD8" w:rsidRPr="00AE69D0" w:rsidRDefault="00E553BA" w:rsidP="00AE69D0">
      <w:pPr>
        <w:jc w:val="both"/>
        <w:rPr>
          <w:rFonts w:asciiTheme="minorHAnsi" w:hAnsiTheme="minorHAnsi" w:cstheme="minorHAnsi"/>
          <w:sz w:val="20"/>
          <w:szCs w:val="20"/>
        </w:rPr>
      </w:pPr>
      <w:r w:rsidRPr="00E553BA">
        <w:rPr>
          <w:rFonts w:asciiTheme="minorHAnsi" w:hAnsiTheme="minorHAnsi" w:cstheme="minorHAnsi"/>
          <w:sz w:val="20"/>
          <w:szCs w:val="20"/>
        </w:rPr>
        <w:t>Mention sur les modalités et les échéances de communication des informations exigées aux IV et V de l’article 421-34 du règlement général de l’AMF.</w:t>
      </w:r>
    </w:p>
    <w:p w:rsidR="00922AD8" w:rsidRPr="00AE69D0" w:rsidRDefault="00922AD8" w:rsidP="00AE69D0">
      <w:pPr>
        <w:jc w:val="both"/>
        <w:rPr>
          <w:rFonts w:asciiTheme="minorHAnsi" w:hAnsiTheme="minorHAnsi" w:cstheme="minorHAnsi"/>
          <w:sz w:val="20"/>
          <w:szCs w:val="20"/>
        </w:rPr>
      </w:pPr>
    </w:p>
    <w:p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 xml:space="preserve">Si le FIA est un FIA nourricier, ajouter la mention suivante : les documents d’informations relatifs à l’OPCVM ou au FIA maître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de droit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agréé par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sont disponibles auprès de :</w:t>
      </w:r>
    </w:p>
    <w:p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Raison sociale</w:t>
      </w:r>
    </w:p>
    <w:p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Adresse</w:t>
      </w:r>
    </w:p>
    <w:p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(Tél. éventuellement)</w:t>
      </w:r>
    </w:p>
    <w:p w:rsidR="00403518" w:rsidRPr="00403518" w:rsidRDefault="00403518" w:rsidP="00403518">
      <w:pPr>
        <w:jc w:val="both"/>
        <w:rPr>
          <w:rFonts w:asciiTheme="minorHAnsi" w:hAnsiTheme="minorHAnsi" w:cstheme="minorHAnsi"/>
          <w:sz w:val="20"/>
          <w:szCs w:val="20"/>
          <w:u w:val="single"/>
        </w:rPr>
      </w:pPr>
      <w:r w:rsidRPr="00403518">
        <w:rPr>
          <w:rFonts w:asciiTheme="minorHAnsi" w:hAnsiTheme="minorHAnsi" w:cstheme="minorHAnsi"/>
          <w:sz w:val="20"/>
          <w:szCs w:val="20"/>
        </w:rPr>
        <w:t xml:space="preserve">E-mail : </w:t>
      </w:r>
      <w:r w:rsidRPr="00403518">
        <w:rPr>
          <w:rFonts w:asciiTheme="minorHAnsi" w:hAnsiTheme="minorHAnsi" w:cstheme="minorHAnsi"/>
          <w:sz w:val="20"/>
          <w:szCs w:val="20"/>
          <w:u w:val="single"/>
        </w:rPr>
        <w:t>demande@banqueX.fr</w:t>
      </w:r>
    </w:p>
    <w:p w:rsidR="00946BC2" w:rsidRPr="00AE69D0" w:rsidRDefault="00946BC2" w:rsidP="00AE69D0">
      <w:pPr>
        <w:jc w:val="both"/>
        <w:rPr>
          <w:rFonts w:asciiTheme="minorHAnsi" w:hAnsiTheme="minorHAnsi" w:cstheme="minorHAnsi"/>
          <w:sz w:val="20"/>
          <w:szCs w:val="20"/>
        </w:rPr>
      </w:pPr>
    </w:p>
    <w:p w:rsidR="00922AD8" w:rsidRDefault="00D310AF" w:rsidP="00C92C0A">
      <w:pPr>
        <w:pStyle w:val="AMFDate"/>
        <w:numPr>
          <w:ilvl w:val="0"/>
          <w:numId w:val="6"/>
        </w:numPr>
        <w:jc w:val="left"/>
        <w:outlineLvl w:val="0"/>
        <w:rPr>
          <w:rFonts w:asciiTheme="minorHAnsi" w:hAnsiTheme="minorHAnsi" w:cstheme="minorHAnsi"/>
          <w:b w:val="0"/>
          <w:caps/>
          <w:szCs w:val="20"/>
        </w:rPr>
      </w:pPr>
      <w:r>
        <w:rPr>
          <w:rFonts w:asciiTheme="minorHAnsi" w:hAnsiTheme="minorHAnsi" w:cstheme="minorHAnsi"/>
          <w:b w:val="0"/>
          <w:caps/>
          <w:szCs w:val="20"/>
        </w:rPr>
        <w:t xml:space="preserve"> </w:t>
      </w:r>
      <w:r w:rsidRPr="00D310AF">
        <w:rPr>
          <w:rFonts w:asciiTheme="minorHAnsi" w:hAnsiTheme="minorHAnsi" w:cstheme="minorHAnsi"/>
          <w:b w:val="0"/>
          <w:caps/>
          <w:szCs w:val="20"/>
        </w:rPr>
        <w:t>Acteurs</w:t>
      </w:r>
    </w:p>
    <w:p w:rsidR="00D310AF" w:rsidRPr="00B14768" w:rsidRDefault="00D310AF" w:rsidP="00B14768">
      <w:pPr>
        <w:pStyle w:val="AMFDate"/>
        <w:ind w:left="0"/>
        <w:jc w:val="both"/>
        <w:rPr>
          <w:rFonts w:asciiTheme="minorHAnsi" w:hAnsiTheme="minorHAnsi" w:cstheme="minorHAnsi"/>
          <w:b w:val="0"/>
          <w:szCs w:val="20"/>
        </w:rPr>
      </w:pPr>
    </w:p>
    <w:p w:rsidR="00D310AF" w:rsidRPr="00B14768" w:rsidRDefault="00B14768" w:rsidP="00B14768">
      <w:pPr>
        <w:pStyle w:val="AMFDate"/>
        <w:ind w:left="0"/>
        <w:jc w:val="both"/>
        <w:rPr>
          <w:rFonts w:asciiTheme="minorHAnsi" w:hAnsiTheme="minorHAnsi" w:cstheme="minorHAnsi"/>
          <w:b w:val="0"/>
          <w:szCs w:val="20"/>
        </w:rPr>
      </w:pPr>
      <w:r w:rsidRPr="00B14768">
        <w:rPr>
          <w:rFonts w:asciiTheme="minorHAnsi" w:hAnsiTheme="minorHAnsi" w:cstheme="minorHAnsi"/>
          <w:b w:val="0"/>
          <w:szCs w:val="20"/>
        </w:rPr>
        <w:t>Cette rubrique comporte la liste, les coordonnées ainsi que les obligations de l'ensemble des acteurs et prestataires concernés au titre de la gestion, de la conservation, du contrôle ou de la distribution.</w:t>
      </w:r>
    </w:p>
    <w:p w:rsidR="00D310AF" w:rsidRDefault="00D310AF" w:rsidP="00B14768">
      <w:pPr>
        <w:pStyle w:val="AMFDate"/>
        <w:ind w:left="0"/>
        <w:jc w:val="both"/>
        <w:rPr>
          <w:rFonts w:asciiTheme="minorHAnsi" w:hAnsiTheme="minorHAnsi" w:cstheme="minorHAnsi"/>
          <w:b w:val="0"/>
          <w:szCs w:val="20"/>
        </w:rPr>
      </w:pPr>
    </w:p>
    <w:p w:rsidR="00B14768" w:rsidRDefault="0037132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Société de gestion</w:t>
      </w:r>
    </w:p>
    <w:p w:rsidR="00DD0F5F" w:rsidRPr="00DD0F5F" w:rsidRDefault="00DD0F5F" w:rsidP="00DD0F5F">
      <w:pPr>
        <w:jc w:val="both"/>
        <w:outlineLvl w:val="1"/>
        <w:rPr>
          <w:rFonts w:asciiTheme="minorHAnsi" w:eastAsiaTheme="minorEastAsia" w:hAnsiTheme="minorHAnsi" w:cstheme="minorHAnsi"/>
          <w:b/>
          <w:bCs/>
          <w:sz w:val="20"/>
          <w:szCs w:val="19"/>
        </w:rPr>
      </w:pPr>
    </w:p>
    <w:p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Dénomination ou raison sociale, forme juridique, siège social et adresse postale si celle-ci est différente du siège social ;</w:t>
      </w:r>
    </w:p>
    <w:p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Identité et fonctions dans la SICAV des membres des organes d’administration, de direction et de surveillance ;</w:t>
      </w:r>
    </w:p>
    <w:p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Mention des principales activités exercées par ces personnes en dehors de la société lorsqu’elles sont significatives par rapport à celle-ci</w:t>
      </w:r>
      <w:r>
        <w:rPr>
          <w:rFonts w:asciiTheme="minorHAnsi" w:hAnsiTheme="minorHAnsi" w:cstheme="minorHAnsi"/>
          <w:b w:val="0"/>
          <w:szCs w:val="20"/>
        </w:rPr>
        <w:t>.</w:t>
      </w:r>
    </w:p>
    <w:p w:rsidR="00410E01" w:rsidRPr="00410E01" w:rsidRDefault="00410E01" w:rsidP="00410E01">
      <w:pPr>
        <w:pStyle w:val="AMFDate"/>
        <w:ind w:left="0"/>
        <w:jc w:val="both"/>
        <w:rPr>
          <w:rFonts w:asciiTheme="minorHAnsi" w:hAnsiTheme="minorHAnsi" w:cstheme="minorHAnsi"/>
          <w:b w:val="0"/>
          <w:szCs w:val="20"/>
        </w:rPr>
      </w:pPr>
      <w:r w:rsidRPr="00410E01">
        <w:rPr>
          <w:rFonts w:asciiTheme="minorHAnsi" w:hAnsiTheme="minorHAnsi" w:cstheme="minorHAnsi"/>
          <w:b w:val="0"/>
          <w:szCs w:val="20"/>
        </w:rPr>
        <w:t>Lorsque le FIA est géré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de FIA.</w:t>
      </w:r>
    </w:p>
    <w:p w:rsidR="00B14768" w:rsidRDefault="00B14768" w:rsidP="00B14768">
      <w:pPr>
        <w:pStyle w:val="AMFDate"/>
        <w:ind w:left="0"/>
        <w:jc w:val="both"/>
        <w:rPr>
          <w:rFonts w:asciiTheme="minorHAnsi" w:hAnsiTheme="minorHAnsi" w:cstheme="minorHAnsi"/>
          <w:b w:val="0"/>
          <w:szCs w:val="20"/>
        </w:rPr>
      </w:pPr>
    </w:p>
    <w:p w:rsidR="00946BC2" w:rsidRDefault="00946BC2"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sidRPr="00946BC2">
        <w:rPr>
          <w:rFonts w:asciiTheme="minorHAnsi" w:eastAsiaTheme="minorEastAsia" w:hAnsiTheme="minorHAnsi" w:cstheme="minorHAnsi"/>
          <w:b/>
          <w:bCs/>
          <w:sz w:val="20"/>
          <w:szCs w:val="19"/>
        </w:rPr>
        <w:t>Dépositaire et conservateurs</w:t>
      </w:r>
    </w:p>
    <w:p w:rsidR="00DD0F5F" w:rsidRPr="00DD0F5F" w:rsidRDefault="00DD0F5F" w:rsidP="00DD0F5F">
      <w:pPr>
        <w:jc w:val="both"/>
        <w:outlineLvl w:val="1"/>
        <w:rPr>
          <w:rFonts w:asciiTheme="minorHAnsi" w:eastAsiaTheme="minorEastAsia" w:hAnsiTheme="minorHAnsi" w:cstheme="minorHAnsi"/>
          <w:b/>
          <w:bCs/>
          <w:sz w:val="20"/>
          <w:szCs w:val="19"/>
        </w:rPr>
      </w:pPr>
    </w:p>
    <w:p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 xml:space="preserve">Dénomination ou raison sociale, forme juridique, siège social et adresse postale si celle-ci est différente du siège social ; </w:t>
      </w:r>
    </w:p>
    <w:p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Activité principale, pour :</w:t>
      </w:r>
    </w:p>
    <w:p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dépositaire ;</w:t>
      </w:r>
    </w:p>
    <w:p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conservateur (actif du FIA) ; si applicable, pour les fonds professionnels à vocation générale et les fonds de fonds alternatifs, ajout de la mention suivante : « Une convention prise en application de l’article L. 214-24-10</w:t>
      </w:r>
      <w:r w:rsidR="009F6A21">
        <w:rPr>
          <w:rFonts w:asciiTheme="minorHAnsi" w:eastAsiaTheme="minorEastAsia" w:hAnsiTheme="minorHAnsi" w:cstheme="minorHAnsi"/>
          <w:bCs/>
          <w:sz w:val="20"/>
          <w:szCs w:val="20"/>
        </w:rPr>
        <w:t xml:space="preserve"> </w:t>
      </w:r>
      <w:r w:rsidRPr="00F31708">
        <w:rPr>
          <w:rFonts w:asciiTheme="minorHAnsi" w:eastAsiaTheme="minorEastAsia" w:hAnsiTheme="minorHAnsi" w:cstheme="minorHAnsi"/>
          <w:bCs/>
          <w:sz w:val="20"/>
          <w:szCs w:val="20"/>
        </w:rPr>
        <w:t>du code monétaire et financier a</w:t>
      </w:r>
      <w:r w:rsidR="009F6A21">
        <w:rPr>
          <w:rFonts w:asciiTheme="minorHAnsi" w:eastAsiaTheme="minorEastAsia" w:hAnsiTheme="minorHAnsi" w:cstheme="minorHAnsi"/>
          <w:bCs/>
          <w:sz w:val="20"/>
          <w:szCs w:val="20"/>
        </w:rPr>
        <w:t xml:space="preserve"> été mise en place pour ce FIA/</w:t>
      </w:r>
      <w:r w:rsidRPr="00F31708">
        <w:rPr>
          <w:rFonts w:asciiTheme="minorHAnsi" w:eastAsiaTheme="minorEastAsia" w:hAnsiTheme="minorHAnsi" w:cstheme="minorHAnsi"/>
          <w:bCs/>
          <w:sz w:val="20"/>
          <w:szCs w:val="20"/>
        </w:rPr>
        <w:t>ce compartiment de FIA. » Description, le cas échéant par compartiment, des conditions juridiques et de l'étendue des actifs concernés par cette convention ;</w:t>
      </w:r>
    </w:p>
    <w:p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hAnsiTheme="minorHAnsi" w:cstheme="minorHAnsi"/>
          <w:sz w:val="20"/>
          <w:szCs w:val="20"/>
        </w:rPr>
        <w:t>L</w:t>
      </w:r>
      <w:r w:rsidRPr="00F31708">
        <w:rPr>
          <w:rFonts w:asciiTheme="minorHAnsi" w:hAnsiTheme="minorHAnsi" w:cstheme="minorHAnsi"/>
          <w:sz w:val="20"/>
          <w:szCs w:val="20"/>
        </w:rPr>
        <w:t>’établissement</w:t>
      </w:r>
      <w:r w:rsidRPr="00F31708">
        <w:rPr>
          <w:rFonts w:asciiTheme="minorHAnsi" w:eastAsiaTheme="minorEastAsia" w:hAnsiTheme="minorHAnsi" w:cstheme="minorHAnsi"/>
          <w:bCs/>
          <w:sz w:val="20"/>
          <w:szCs w:val="20"/>
        </w:rPr>
        <w:t xml:space="preserve"> en charge de la tenue de compte Emission ;</w:t>
      </w:r>
    </w:p>
    <w:p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L</w:t>
      </w:r>
      <w:r w:rsidRPr="00F31708">
        <w:rPr>
          <w:rFonts w:asciiTheme="minorHAnsi" w:eastAsiaTheme="minorEastAsia" w:hAnsiTheme="minorHAnsi" w:cstheme="minorHAnsi"/>
          <w:bCs/>
          <w:sz w:val="20"/>
          <w:szCs w:val="20"/>
        </w:rPr>
        <w:t xml:space="preserve">e </w:t>
      </w:r>
      <w:r w:rsidRPr="00F31708">
        <w:rPr>
          <w:rFonts w:asciiTheme="minorHAnsi" w:hAnsiTheme="minorHAnsi" w:cstheme="minorHAnsi"/>
          <w:sz w:val="20"/>
          <w:szCs w:val="20"/>
        </w:rPr>
        <w:t>cas</w:t>
      </w:r>
      <w:r w:rsidRPr="00F31708">
        <w:rPr>
          <w:rFonts w:asciiTheme="minorHAnsi" w:eastAsiaTheme="minorEastAsia" w:hAnsiTheme="minorHAnsi" w:cstheme="minorHAnsi"/>
          <w:bCs/>
          <w:sz w:val="20"/>
          <w:szCs w:val="20"/>
        </w:rPr>
        <w:t xml:space="preserve"> échéant, l’établissement en charge de la tenue des registres des pa</w:t>
      </w:r>
      <w:r>
        <w:rPr>
          <w:rFonts w:asciiTheme="minorHAnsi" w:eastAsiaTheme="minorEastAsia" w:hAnsiTheme="minorHAnsi" w:cstheme="minorHAnsi"/>
          <w:bCs/>
          <w:sz w:val="20"/>
          <w:szCs w:val="20"/>
        </w:rPr>
        <w:t>rts ou actions (passif du FIA).</w:t>
      </w:r>
    </w:p>
    <w:p w:rsidR="00F31708" w:rsidRPr="0029459F" w:rsidRDefault="00F31708" w:rsidP="0029459F">
      <w:pPr>
        <w:pStyle w:val="AMFDate"/>
        <w:ind w:left="0"/>
        <w:jc w:val="left"/>
        <w:rPr>
          <w:rFonts w:asciiTheme="minorHAnsi" w:hAnsiTheme="minorHAnsi" w:cstheme="minorHAnsi"/>
          <w:b w:val="0"/>
          <w:szCs w:val="20"/>
        </w:rPr>
      </w:pPr>
    </w:p>
    <w:p w:rsidR="0029459F" w:rsidRPr="0029459F" w:rsidRDefault="0029459F" w:rsidP="0029459F">
      <w:pPr>
        <w:pStyle w:val="AMFDate"/>
        <w:ind w:left="0"/>
        <w:jc w:val="both"/>
        <w:rPr>
          <w:rFonts w:asciiTheme="minorHAnsi" w:hAnsiTheme="minorHAnsi" w:cstheme="minorHAnsi"/>
          <w:b w:val="0"/>
          <w:szCs w:val="20"/>
        </w:rPr>
      </w:pPr>
      <w:r w:rsidRPr="0029459F">
        <w:rPr>
          <w:rFonts w:asciiTheme="minorHAnsi" w:hAnsiTheme="minorHAnsi" w:cstheme="minorHAnsi"/>
          <w:b w:val="0"/>
          <w:szCs w:val="20"/>
        </w:rPr>
        <w:t>Le cas échéant, conformément à l’article 421-34 du règlement général de l’AMF et uniquement pour les FIA qui ne sont pas ouverts à des investisseurs non professionnels, le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 et IV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rsidR="00B14768" w:rsidRPr="0029459F" w:rsidRDefault="00B14768" w:rsidP="0029459F">
      <w:pPr>
        <w:pStyle w:val="AMFDate"/>
        <w:ind w:left="0"/>
        <w:jc w:val="both"/>
        <w:rPr>
          <w:rFonts w:asciiTheme="minorHAnsi" w:hAnsiTheme="minorHAnsi" w:cstheme="minorHAnsi"/>
          <w:b w:val="0"/>
          <w:szCs w:val="20"/>
        </w:rPr>
      </w:pPr>
    </w:p>
    <w:p w:rsidR="00F31708" w:rsidRDefault="007234F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7234F5">
        <w:rPr>
          <w:rFonts w:asciiTheme="minorHAnsi" w:eastAsiaTheme="minorEastAsia" w:hAnsiTheme="minorHAnsi" w:cstheme="minorHAnsi"/>
          <w:b/>
          <w:bCs/>
          <w:sz w:val="20"/>
          <w:szCs w:val="19"/>
        </w:rPr>
        <w:lastRenderedPageBreak/>
        <w:t>Courtier principal (prime broker)</w:t>
      </w:r>
    </w:p>
    <w:p w:rsidR="00DD0F5F" w:rsidRPr="00DD0F5F" w:rsidRDefault="00DD0F5F" w:rsidP="00DD0F5F">
      <w:pPr>
        <w:jc w:val="both"/>
        <w:outlineLvl w:val="1"/>
        <w:rPr>
          <w:rFonts w:asciiTheme="minorHAnsi" w:eastAsiaTheme="minorEastAsia" w:hAnsiTheme="minorHAnsi" w:cstheme="minorHAnsi"/>
          <w:b/>
          <w:bCs/>
          <w:sz w:val="20"/>
          <w:szCs w:val="19"/>
        </w:rPr>
      </w:pPr>
    </w:p>
    <w:p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Dénomination ou raison sociale, forme juridique, siège social et adresse postale si celle-ci est différente du siège social.</w:t>
      </w:r>
    </w:p>
    <w:p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Préciser si le courtier principal est également conservateur par délégation du dépositaire, le cas échéant. </w:t>
      </w:r>
    </w:p>
    <w:p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Indiquer l’activité principale. </w:t>
      </w:r>
      <w:r w:rsidRPr="00A73032">
        <w:rPr>
          <w:rFonts w:asciiTheme="minorHAnsi" w:hAnsiTheme="minorHAnsi" w:cstheme="minorHAnsi"/>
          <w:b w:val="0"/>
          <w:szCs w:val="20"/>
        </w:rPr>
        <w:tab/>
      </w:r>
    </w:p>
    <w:p w:rsidR="00B14768"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rsidR="00B14768" w:rsidRDefault="00B14768" w:rsidP="00B14768">
      <w:pPr>
        <w:pStyle w:val="AMFDate"/>
        <w:ind w:left="0"/>
        <w:jc w:val="both"/>
        <w:rPr>
          <w:rFonts w:asciiTheme="minorHAnsi" w:hAnsiTheme="minorHAnsi" w:cstheme="minorHAnsi"/>
          <w:b w:val="0"/>
          <w:szCs w:val="20"/>
        </w:rPr>
      </w:pPr>
    </w:p>
    <w:p w:rsidR="00B14768" w:rsidRPr="001A2DE7" w:rsidRDefault="001A2DE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A2DE7">
        <w:rPr>
          <w:rFonts w:asciiTheme="minorHAnsi" w:eastAsiaTheme="minorEastAsia" w:hAnsiTheme="minorHAnsi" w:cstheme="minorHAnsi"/>
          <w:b/>
          <w:bCs/>
          <w:sz w:val="20"/>
          <w:szCs w:val="19"/>
        </w:rPr>
        <w:t xml:space="preserve">Commissaire aux comptes  </w:t>
      </w:r>
    </w:p>
    <w:p w:rsidR="00276550" w:rsidRPr="00276550" w:rsidRDefault="00276550" w:rsidP="00276550">
      <w:pPr>
        <w:pStyle w:val="AMFDate"/>
        <w:ind w:left="0"/>
        <w:jc w:val="both"/>
        <w:rPr>
          <w:rFonts w:asciiTheme="minorHAnsi" w:hAnsiTheme="minorHAnsi" w:cstheme="minorHAnsi"/>
          <w:b w:val="0"/>
          <w:szCs w:val="20"/>
        </w:rPr>
      </w:pPr>
      <w:r w:rsidRPr="00276550">
        <w:rPr>
          <w:rFonts w:asciiTheme="minorHAnsi" w:hAnsiTheme="minorHAnsi" w:cstheme="minorHAnsi"/>
          <w:b w:val="0"/>
          <w:szCs w:val="20"/>
        </w:rPr>
        <w:t>Dénomination ou raison sociale, siège social, signataire.</w:t>
      </w:r>
    </w:p>
    <w:p w:rsidR="00D310AF" w:rsidRPr="00B14768" w:rsidRDefault="00D310AF" w:rsidP="00B14768">
      <w:pPr>
        <w:pStyle w:val="AMFDate"/>
        <w:ind w:left="0"/>
        <w:jc w:val="both"/>
        <w:rPr>
          <w:rFonts w:asciiTheme="minorHAnsi" w:hAnsiTheme="minorHAnsi" w:cstheme="minorHAnsi"/>
          <w:b w:val="0"/>
          <w:szCs w:val="20"/>
        </w:rPr>
      </w:pPr>
    </w:p>
    <w:p w:rsidR="003F2450" w:rsidRPr="003F2450" w:rsidRDefault="003F2450" w:rsidP="00C92C0A">
      <w:pPr>
        <w:pStyle w:val="Paragraphedeliste"/>
        <w:numPr>
          <w:ilvl w:val="1"/>
          <w:numId w:val="6"/>
        </w:numPr>
        <w:ind w:left="567" w:hanging="567"/>
        <w:jc w:val="both"/>
        <w:outlineLvl w:val="1"/>
        <w:rPr>
          <w:rFonts w:asciiTheme="minorHAnsi" w:eastAsiaTheme="minorEastAsia" w:hAnsiTheme="minorHAnsi" w:cstheme="minorHAnsi"/>
          <w:bCs/>
          <w:sz w:val="20"/>
          <w:szCs w:val="20"/>
        </w:rPr>
      </w:pPr>
      <w:proofErr w:type="spellStart"/>
      <w:r w:rsidRPr="003F2450">
        <w:rPr>
          <w:rFonts w:asciiTheme="minorHAnsi" w:eastAsiaTheme="minorEastAsia" w:hAnsiTheme="minorHAnsi" w:cstheme="minorHAnsi"/>
          <w:b/>
          <w:bCs/>
          <w:sz w:val="20"/>
          <w:szCs w:val="19"/>
        </w:rPr>
        <w:t>Commercialisateurs</w:t>
      </w:r>
      <w:proofErr w:type="spellEnd"/>
    </w:p>
    <w:p w:rsidR="00D310AF" w:rsidRPr="00B14768" w:rsidRDefault="003F2450" w:rsidP="00B14768">
      <w:pPr>
        <w:pStyle w:val="AMFDate"/>
        <w:ind w:left="0"/>
        <w:jc w:val="both"/>
        <w:rPr>
          <w:rFonts w:asciiTheme="minorHAnsi" w:hAnsiTheme="minorHAnsi" w:cstheme="minorHAnsi"/>
          <w:b w:val="0"/>
          <w:szCs w:val="20"/>
        </w:rPr>
      </w:pPr>
      <w:r w:rsidRPr="003F2450">
        <w:rPr>
          <w:rFonts w:asciiTheme="minorHAnsi" w:hAnsiTheme="minorHAnsi" w:cstheme="minorHAnsi"/>
          <w:b w:val="0"/>
          <w:szCs w:val="20"/>
        </w:rPr>
        <w:t>Dénomination ou raison sociale, forme juridique, siège social et adresse postale si celle-ci est différente du siège social.</w:t>
      </w:r>
    </w:p>
    <w:p w:rsidR="00D310AF" w:rsidRPr="00B14768" w:rsidRDefault="00D310AF" w:rsidP="00B14768">
      <w:pPr>
        <w:pStyle w:val="AMFDate"/>
        <w:ind w:left="0"/>
        <w:jc w:val="both"/>
        <w:rPr>
          <w:rFonts w:asciiTheme="minorHAnsi" w:hAnsiTheme="minorHAnsi" w:cstheme="minorHAnsi"/>
          <w:b w:val="0"/>
          <w:szCs w:val="20"/>
        </w:rPr>
      </w:pPr>
    </w:p>
    <w:p w:rsidR="00D310AF" w:rsidRPr="003E614D" w:rsidRDefault="003E614D"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3E614D">
        <w:rPr>
          <w:rFonts w:asciiTheme="minorHAnsi" w:eastAsiaTheme="minorEastAsia" w:hAnsiTheme="minorHAnsi" w:cstheme="minorHAnsi"/>
          <w:b/>
          <w:bCs/>
          <w:sz w:val="20"/>
          <w:szCs w:val="19"/>
        </w:rPr>
        <w:t xml:space="preserve">Personne s’assurant que les critères relatifs à la capacité des souscripteurs ou acquéreurs ont été respectés et que ces derniers ont reçu l’information requise. </w:t>
      </w:r>
    </w:p>
    <w:p w:rsidR="00D310AF" w:rsidRPr="00B14768" w:rsidRDefault="0012163B" w:rsidP="00B14768">
      <w:pPr>
        <w:pStyle w:val="AMFDate"/>
        <w:ind w:left="0"/>
        <w:jc w:val="both"/>
        <w:rPr>
          <w:rFonts w:asciiTheme="minorHAnsi" w:hAnsiTheme="minorHAnsi" w:cstheme="minorHAnsi"/>
          <w:b w:val="0"/>
          <w:szCs w:val="20"/>
        </w:rPr>
      </w:pPr>
      <w:r w:rsidRPr="0012163B">
        <w:rPr>
          <w:rFonts w:asciiTheme="minorHAnsi" w:hAnsiTheme="minorHAnsi" w:cstheme="minorHAnsi"/>
          <w:b w:val="0"/>
          <w:szCs w:val="20"/>
        </w:rPr>
        <w:t>Cette rubrique n’est renseignée que pour les fonds professionnels à vocation générale.</w:t>
      </w:r>
    </w:p>
    <w:p w:rsidR="00D310AF" w:rsidRDefault="00D310AF" w:rsidP="00B14768">
      <w:pPr>
        <w:pStyle w:val="AMFDate"/>
        <w:ind w:left="0"/>
        <w:jc w:val="both"/>
        <w:rPr>
          <w:rFonts w:asciiTheme="minorHAnsi" w:hAnsiTheme="minorHAnsi" w:cstheme="minorHAnsi"/>
          <w:b w:val="0"/>
          <w:szCs w:val="20"/>
        </w:rPr>
      </w:pPr>
    </w:p>
    <w:p w:rsidR="00C753B7" w:rsidRDefault="00C753B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Délégataires</w:t>
      </w:r>
    </w:p>
    <w:p w:rsidR="00DD0F5F" w:rsidRPr="00DD0F5F" w:rsidRDefault="00DD0F5F" w:rsidP="00DD0F5F">
      <w:pPr>
        <w:jc w:val="both"/>
        <w:outlineLvl w:val="1"/>
        <w:rPr>
          <w:rFonts w:asciiTheme="minorHAnsi" w:eastAsiaTheme="minorEastAsia" w:hAnsiTheme="minorHAnsi" w:cstheme="minorHAnsi"/>
          <w:b/>
          <w:bCs/>
          <w:sz w:val="20"/>
          <w:szCs w:val="19"/>
        </w:rPr>
      </w:pPr>
    </w:p>
    <w:p w:rsidR="0021029F" w:rsidRPr="0021029F" w:rsidRDefault="0021029F" w:rsidP="0021029F">
      <w:pPr>
        <w:pStyle w:val="AMFDate"/>
        <w:ind w:left="0"/>
        <w:jc w:val="both"/>
        <w:rPr>
          <w:rFonts w:asciiTheme="minorHAnsi" w:hAnsiTheme="minorHAnsi" w:cstheme="minorHAnsi"/>
          <w:b w:val="0"/>
          <w:szCs w:val="20"/>
        </w:rPr>
      </w:pPr>
      <w:r w:rsidRPr="0021029F">
        <w:rPr>
          <w:rFonts w:asciiTheme="minorHAnsi" w:hAnsiTheme="minorHAnsi" w:cstheme="minorHAnsi"/>
          <w:b w:val="0"/>
          <w:szCs w:val="20"/>
        </w:rPr>
        <w:t>Cette rubrique regroupe, pour l’ensemble des délégations, notamment financière, administrative et comptable, au sens des articles 321-97</w:t>
      </w:r>
      <w:r w:rsidRPr="0021029F">
        <w:rPr>
          <w:rFonts w:asciiTheme="minorHAnsi" w:hAnsiTheme="minorHAnsi" w:cstheme="minorHAnsi"/>
          <w:b w:val="0"/>
          <w:szCs w:val="20"/>
          <w:vertAlign w:val="superscript"/>
        </w:rPr>
        <w:footnoteReference w:id="2"/>
      </w:r>
      <w:r w:rsidRPr="0021029F">
        <w:rPr>
          <w:rFonts w:asciiTheme="minorHAnsi" w:hAnsiTheme="minorHAnsi" w:cstheme="minorHAnsi"/>
          <w:b w:val="0"/>
          <w:szCs w:val="20"/>
        </w:rPr>
        <w:t xml:space="preserve"> ou 318-62</w:t>
      </w:r>
      <w:r w:rsidRPr="0021029F">
        <w:rPr>
          <w:rFonts w:asciiTheme="minorHAnsi" w:hAnsiTheme="minorHAnsi" w:cstheme="minorHAnsi"/>
          <w:b w:val="0"/>
          <w:szCs w:val="20"/>
          <w:vertAlign w:val="superscript"/>
        </w:rPr>
        <w:footnoteReference w:id="3"/>
      </w:r>
      <w:r w:rsidRPr="0021029F">
        <w:rPr>
          <w:rFonts w:asciiTheme="minorHAnsi" w:hAnsiTheme="minorHAnsi" w:cstheme="minorHAnsi"/>
          <w:b w:val="0"/>
          <w:szCs w:val="20"/>
        </w:rPr>
        <w:t xml:space="preserve"> du règlement général de l’Autorité des marchés financiers, les informations suivantes :</w:t>
      </w:r>
    </w:p>
    <w:p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Identité</w:t>
      </w:r>
      <w:r w:rsidRPr="0021029F">
        <w:rPr>
          <w:rFonts w:asciiTheme="minorHAnsi" w:eastAsiaTheme="minorEastAsia" w:hAnsiTheme="minorHAnsi" w:cstheme="minorHAnsi"/>
          <w:bCs/>
          <w:sz w:val="20"/>
          <w:szCs w:val="20"/>
        </w:rPr>
        <w:t xml:space="preserve"> ou raison sociale de la société ;</w:t>
      </w:r>
    </w:p>
    <w:p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Eléments</w:t>
      </w:r>
      <w:r w:rsidRPr="0021029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Autres</w:t>
      </w:r>
      <w:r w:rsidRPr="0021029F">
        <w:rPr>
          <w:rFonts w:asciiTheme="minorHAnsi" w:eastAsiaTheme="minorEastAsia" w:hAnsiTheme="minorHAnsi" w:cstheme="minorHAnsi"/>
          <w:bCs/>
          <w:sz w:val="20"/>
          <w:szCs w:val="20"/>
        </w:rPr>
        <w:t xml:space="preserve"> caractéristiques sommaires de l’activité de la société délégataire ;</w:t>
      </w:r>
    </w:p>
    <w:p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Tout</w:t>
      </w:r>
      <w:r w:rsidRPr="0021029F">
        <w:rPr>
          <w:rFonts w:asciiTheme="minorHAnsi" w:eastAsiaTheme="minorEastAsia" w:hAnsiTheme="minorHAnsi" w:cstheme="minorHAnsi"/>
          <w:bCs/>
          <w:sz w:val="20"/>
          <w:szCs w:val="20"/>
        </w:rPr>
        <w:t xml:space="preserve"> conflit d’intérêts susceptible de découler de ces délégations.</w:t>
      </w:r>
    </w:p>
    <w:p w:rsidR="00D310AF" w:rsidRPr="00B14768" w:rsidRDefault="00D310AF" w:rsidP="00B14768">
      <w:pPr>
        <w:pStyle w:val="AMFDate"/>
        <w:ind w:left="0"/>
        <w:jc w:val="both"/>
        <w:rPr>
          <w:rFonts w:asciiTheme="minorHAnsi" w:hAnsiTheme="minorHAnsi" w:cstheme="minorHAnsi"/>
          <w:b w:val="0"/>
          <w:szCs w:val="20"/>
        </w:rPr>
      </w:pPr>
    </w:p>
    <w:p w:rsidR="00D310AF" w:rsidRPr="00DD0F5F" w:rsidRDefault="00DD0F5F"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DD0F5F">
        <w:rPr>
          <w:rFonts w:asciiTheme="minorHAnsi" w:eastAsiaTheme="minorEastAsia" w:hAnsiTheme="minorHAnsi" w:cstheme="minorHAnsi"/>
          <w:b/>
          <w:bCs/>
          <w:sz w:val="20"/>
          <w:szCs w:val="19"/>
        </w:rPr>
        <w:t>Conseillers</w:t>
      </w:r>
    </w:p>
    <w:p w:rsidR="00D310AF" w:rsidRPr="00B14768" w:rsidRDefault="00D310AF" w:rsidP="00B14768">
      <w:pPr>
        <w:pStyle w:val="AMFDate"/>
        <w:ind w:left="0"/>
        <w:jc w:val="both"/>
        <w:rPr>
          <w:rFonts w:asciiTheme="minorHAnsi" w:hAnsiTheme="minorHAnsi" w:cstheme="minorHAnsi"/>
          <w:b w:val="0"/>
          <w:szCs w:val="20"/>
        </w:rPr>
      </w:pPr>
    </w:p>
    <w:p w:rsidR="00DD0F5F" w:rsidRPr="00DD0F5F" w:rsidRDefault="00DD0F5F" w:rsidP="00DD0F5F">
      <w:pPr>
        <w:pStyle w:val="AMFDate"/>
        <w:ind w:left="0"/>
        <w:jc w:val="both"/>
        <w:rPr>
          <w:rFonts w:asciiTheme="minorHAnsi" w:hAnsiTheme="minorHAnsi" w:cstheme="minorHAnsi"/>
          <w:b w:val="0"/>
          <w:szCs w:val="20"/>
        </w:rPr>
      </w:pPr>
      <w:r w:rsidRPr="00DD0F5F">
        <w:rPr>
          <w:rFonts w:asciiTheme="minorHAnsi" w:hAnsiTheme="minorHAnsi" w:cstheme="minorHAnsi"/>
          <w:b w:val="0"/>
          <w:szCs w:val="20"/>
        </w:rPr>
        <w:t>Indications sur les entreprises de conseil ou les conseillers d’investissement externes, pour autant que le recours à leurs services soit prévu par contrat directement ou pour le compte du FIA. Ne sont pas visées les prestations fournies à la société de gestion pour l’ensemble de son activité, qui ne sont pas directement liées à un FIA ou à une gamme de FIA.</w:t>
      </w:r>
    </w:p>
    <w:p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Identité</w:t>
      </w:r>
      <w:r w:rsidRPr="00DD0F5F">
        <w:rPr>
          <w:rFonts w:asciiTheme="minorHAnsi" w:eastAsiaTheme="minorEastAsia" w:hAnsiTheme="minorHAnsi" w:cstheme="minorHAnsi"/>
          <w:bCs/>
          <w:sz w:val="20"/>
          <w:szCs w:val="20"/>
        </w:rPr>
        <w:t xml:space="preserve"> ou raison sociale de la société ou nom du conseiller ;</w:t>
      </w:r>
    </w:p>
    <w:p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Éléments</w:t>
      </w:r>
      <w:r w:rsidRPr="00DD0F5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Autres</w:t>
      </w:r>
      <w:r w:rsidRPr="00DD0F5F">
        <w:rPr>
          <w:rFonts w:asciiTheme="minorHAnsi" w:eastAsiaTheme="minorEastAsia" w:hAnsiTheme="minorHAnsi" w:cstheme="minorHAnsi"/>
          <w:bCs/>
          <w:sz w:val="20"/>
          <w:szCs w:val="20"/>
        </w:rPr>
        <w:t xml:space="preserve"> caractéristiques sommaires de l’activité</w:t>
      </w:r>
      <w:r>
        <w:rPr>
          <w:rFonts w:asciiTheme="minorHAnsi" w:eastAsiaTheme="minorEastAsia" w:hAnsiTheme="minorHAnsi" w:cstheme="minorHAnsi"/>
          <w:bCs/>
          <w:sz w:val="20"/>
          <w:szCs w:val="20"/>
        </w:rPr>
        <w:t xml:space="preserve"> de la société ou du conseiller ;</w:t>
      </w:r>
    </w:p>
    <w:p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eastAsiaTheme="minorEastAsia" w:hAnsiTheme="minorHAnsi" w:cstheme="minorHAnsi"/>
          <w:bCs/>
          <w:sz w:val="20"/>
          <w:szCs w:val="20"/>
        </w:rPr>
        <w:t xml:space="preserve">Le </w:t>
      </w:r>
      <w:r w:rsidRPr="00DD0F5F">
        <w:rPr>
          <w:rFonts w:asciiTheme="minorHAnsi" w:hAnsiTheme="minorHAnsi" w:cstheme="minorHAnsi"/>
          <w:sz w:val="20"/>
          <w:szCs w:val="20"/>
        </w:rPr>
        <w:t>conseiller</w:t>
      </w:r>
      <w:r w:rsidRPr="00DD0F5F">
        <w:rPr>
          <w:rFonts w:asciiTheme="minorHAnsi" w:eastAsiaTheme="minorEastAsia" w:hAnsiTheme="minorHAnsi" w:cstheme="minorHAnsi"/>
          <w:bCs/>
          <w:sz w:val="20"/>
          <w:szCs w:val="20"/>
        </w:rPr>
        <w:t xml:space="preserve"> n’est pas amené à prendre des décisions pour le compte du FIA, qui relèvent de la compétence et de la responsabilité de la SICAV ou de la société de gestion du FCP.</w:t>
      </w:r>
    </w:p>
    <w:p w:rsidR="00D310AF" w:rsidRPr="00B14768" w:rsidRDefault="00D310AF" w:rsidP="00B14768">
      <w:pPr>
        <w:pStyle w:val="AMFDate"/>
        <w:ind w:left="0"/>
        <w:jc w:val="both"/>
        <w:rPr>
          <w:rFonts w:asciiTheme="minorHAnsi" w:hAnsiTheme="minorHAnsi" w:cstheme="minorHAnsi"/>
          <w:b w:val="0"/>
          <w:szCs w:val="20"/>
        </w:rPr>
      </w:pPr>
    </w:p>
    <w:p w:rsidR="00D310AF" w:rsidRPr="001D674C" w:rsidRDefault="001D674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D674C">
        <w:rPr>
          <w:rFonts w:asciiTheme="minorHAnsi" w:eastAsiaTheme="minorEastAsia" w:hAnsiTheme="minorHAnsi" w:cstheme="minorHAnsi"/>
          <w:b/>
          <w:bCs/>
          <w:sz w:val="20"/>
          <w:szCs w:val="19"/>
        </w:rPr>
        <w:t>Centralisateur</w:t>
      </w:r>
    </w:p>
    <w:p w:rsidR="00D310AF" w:rsidRPr="00B14768" w:rsidRDefault="00D310AF" w:rsidP="00B14768">
      <w:pPr>
        <w:pStyle w:val="AMFDate"/>
        <w:ind w:left="0"/>
        <w:jc w:val="both"/>
        <w:rPr>
          <w:rFonts w:asciiTheme="minorHAnsi" w:hAnsiTheme="minorHAnsi" w:cstheme="minorHAnsi"/>
          <w:b w:val="0"/>
          <w:szCs w:val="20"/>
        </w:rPr>
      </w:pPr>
    </w:p>
    <w:p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centralisateur ;</w:t>
      </w:r>
    </w:p>
    <w:p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lastRenderedPageBreak/>
        <w:t>Identité du ou des établissement(s) en charge de la réception des ordres de souscription et rachat.</w:t>
      </w:r>
    </w:p>
    <w:p w:rsidR="00D310AF" w:rsidRPr="00B14768" w:rsidRDefault="00D310AF" w:rsidP="00B14768">
      <w:pPr>
        <w:pStyle w:val="AMFDate"/>
        <w:ind w:left="0"/>
        <w:jc w:val="both"/>
        <w:rPr>
          <w:rFonts w:asciiTheme="minorHAnsi" w:hAnsiTheme="minorHAnsi" w:cstheme="minorHAnsi"/>
          <w:b w:val="0"/>
          <w:szCs w:val="20"/>
        </w:rPr>
      </w:pPr>
    </w:p>
    <w:p w:rsidR="00D310AF" w:rsidRPr="009B2425" w:rsidRDefault="009B242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9B2425">
        <w:rPr>
          <w:rFonts w:asciiTheme="minorHAnsi" w:eastAsiaTheme="minorEastAsia" w:hAnsiTheme="minorHAnsi" w:cstheme="minorHAnsi"/>
          <w:b/>
          <w:bCs/>
          <w:sz w:val="20"/>
          <w:szCs w:val="19"/>
        </w:rPr>
        <w:t>Pour les SICAV</w:t>
      </w:r>
    </w:p>
    <w:p w:rsidR="00D310AF" w:rsidRPr="00B14768" w:rsidRDefault="00D310AF" w:rsidP="00B14768">
      <w:pPr>
        <w:pStyle w:val="AMFDate"/>
        <w:ind w:left="0"/>
        <w:jc w:val="both"/>
        <w:rPr>
          <w:rFonts w:asciiTheme="minorHAnsi" w:hAnsiTheme="minorHAnsi" w:cstheme="minorHAnsi"/>
          <w:b w:val="0"/>
          <w:szCs w:val="20"/>
        </w:rPr>
      </w:pPr>
    </w:p>
    <w:p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Identité et fonctions dans la SICAV des membres des organes d’administration, de direction et de surveillance;</w:t>
      </w:r>
    </w:p>
    <w:p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Mention des principales activités exercées par ces personnes en dehors de la société lorsqu’elles sont signif</w:t>
      </w:r>
      <w:r>
        <w:rPr>
          <w:rFonts w:asciiTheme="minorHAnsi" w:eastAsiaTheme="minorEastAsia" w:hAnsiTheme="minorHAnsi" w:cstheme="minorHAnsi"/>
          <w:bCs/>
          <w:sz w:val="20"/>
          <w:szCs w:val="20"/>
        </w:rPr>
        <w:t>icatives par rapport à celle-ci ;</w:t>
      </w:r>
    </w:p>
    <w:p w:rsidR="00D310AF" w:rsidRPr="009B2425" w:rsidRDefault="009B2425" w:rsidP="00C92C0A">
      <w:pPr>
        <w:pStyle w:val="Paragraphedeliste"/>
        <w:numPr>
          <w:ilvl w:val="0"/>
          <w:numId w:val="14"/>
        </w:numPr>
        <w:jc w:val="both"/>
        <w:rPr>
          <w:rFonts w:asciiTheme="minorHAnsi" w:hAnsiTheme="minorHAnsi" w:cstheme="minorHAnsi"/>
          <w:szCs w:val="20"/>
        </w:rPr>
      </w:pPr>
      <w:r>
        <w:rPr>
          <w:rFonts w:asciiTheme="minorHAnsi" w:eastAsiaTheme="minorEastAsia" w:hAnsiTheme="minorHAnsi" w:cstheme="minorHAnsi"/>
          <w:bCs/>
          <w:sz w:val="20"/>
          <w:szCs w:val="20"/>
        </w:rPr>
        <w:t>C</w:t>
      </w:r>
      <w:r w:rsidRPr="009B2425">
        <w:rPr>
          <w:rFonts w:asciiTheme="minorHAnsi" w:eastAsiaTheme="minorEastAsia" w:hAnsiTheme="minorHAnsi" w:cstheme="minorHAnsi"/>
          <w:bCs/>
          <w:sz w:val="20"/>
          <w:szCs w:val="20"/>
        </w:rPr>
        <w:t>apital</w:t>
      </w:r>
      <w:r>
        <w:rPr>
          <w:rFonts w:asciiTheme="minorHAnsi" w:eastAsiaTheme="minorEastAsia" w:hAnsiTheme="minorHAnsi" w:cstheme="minorHAnsi"/>
          <w:bCs/>
          <w:sz w:val="20"/>
          <w:szCs w:val="20"/>
        </w:rPr>
        <w:t>.</w:t>
      </w:r>
    </w:p>
    <w:p w:rsidR="00D310AF" w:rsidRPr="009B2425" w:rsidRDefault="00D310AF" w:rsidP="009B2425">
      <w:pPr>
        <w:pStyle w:val="AMFDate"/>
        <w:ind w:left="0"/>
        <w:jc w:val="both"/>
        <w:rPr>
          <w:rFonts w:asciiTheme="minorHAnsi" w:hAnsiTheme="minorHAnsi" w:cstheme="minorHAnsi"/>
          <w:b w:val="0"/>
          <w:szCs w:val="20"/>
        </w:rPr>
      </w:pPr>
    </w:p>
    <w:p w:rsidR="00D310AF" w:rsidRPr="00E54DA9" w:rsidRDefault="00E54DA9" w:rsidP="00C92C0A">
      <w:pPr>
        <w:pStyle w:val="AMFDate"/>
        <w:numPr>
          <w:ilvl w:val="0"/>
          <w:numId w:val="6"/>
        </w:numPr>
        <w:jc w:val="left"/>
        <w:outlineLvl w:val="0"/>
        <w:rPr>
          <w:rFonts w:asciiTheme="minorHAnsi" w:hAnsiTheme="minorHAnsi" w:cstheme="minorHAnsi"/>
          <w:b w:val="0"/>
          <w:caps/>
          <w:szCs w:val="20"/>
        </w:rPr>
      </w:pPr>
      <w:r w:rsidRPr="00E54DA9">
        <w:rPr>
          <w:rFonts w:asciiTheme="minorHAnsi" w:hAnsiTheme="minorHAnsi" w:cstheme="minorHAnsi"/>
          <w:b w:val="0"/>
          <w:caps/>
          <w:szCs w:val="20"/>
        </w:rPr>
        <w:t>Modalités de fonctionnement et de gestion</w:t>
      </w:r>
    </w:p>
    <w:p w:rsidR="00D310AF" w:rsidRPr="00B14768" w:rsidRDefault="00D310AF" w:rsidP="00B14768">
      <w:pPr>
        <w:pStyle w:val="AMFDate"/>
        <w:ind w:left="0"/>
        <w:jc w:val="both"/>
        <w:rPr>
          <w:rFonts w:asciiTheme="minorHAnsi" w:hAnsiTheme="minorHAnsi" w:cstheme="minorHAnsi"/>
          <w:b w:val="0"/>
          <w:szCs w:val="20"/>
        </w:rPr>
      </w:pPr>
    </w:p>
    <w:p w:rsidR="006B232F" w:rsidRPr="006B232F" w:rsidRDefault="006B232F" w:rsidP="006B232F">
      <w:pPr>
        <w:pStyle w:val="AMFDate"/>
        <w:ind w:left="0"/>
        <w:jc w:val="left"/>
        <w:rPr>
          <w:rFonts w:asciiTheme="minorHAnsi" w:hAnsiTheme="minorHAnsi" w:cstheme="minorHAnsi"/>
          <w:b w:val="0"/>
          <w:szCs w:val="20"/>
        </w:rPr>
      </w:pPr>
      <w:r w:rsidRPr="006B232F">
        <w:rPr>
          <w:rFonts w:asciiTheme="minorHAnsi" w:hAnsiTheme="minorHAnsi" w:cstheme="minorHAnsi"/>
          <w:b w:val="0"/>
          <w:szCs w:val="20"/>
        </w:rPr>
        <w:t>Cette rubrique comporte l’ensemble des modalités de fonctionnement et de gestion du FIA.</w:t>
      </w:r>
    </w:p>
    <w:p w:rsidR="00D310AF" w:rsidRPr="00B14768" w:rsidRDefault="006B232F" w:rsidP="006B232F">
      <w:pPr>
        <w:pStyle w:val="AMFDate"/>
        <w:ind w:left="0"/>
        <w:jc w:val="both"/>
        <w:rPr>
          <w:rFonts w:asciiTheme="minorHAnsi" w:hAnsiTheme="minorHAnsi" w:cstheme="minorHAnsi"/>
          <w:b w:val="0"/>
          <w:szCs w:val="20"/>
        </w:rPr>
      </w:pPr>
      <w:r w:rsidRPr="006B232F">
        <w:rPr>
          <w:rFonts w:asciiTheme="minorHAnsi" w:hAnsiTheme="minorHAnsi" w:cstheme="minorHAnsi"/>
          <w:b w:val="0"/>
          <w:szCs w:val="20"/>
        </w:rPr>
        <w:t>Pour les FIA à compartiment et afin de permettre une meilleure lisibilité du prospectus en cas de compartiments, les modalités de fonctionnement du FIA sont scindées en deux parties : une partie générale décrite au I décrivant les dispositions communes à l’ensemble des compartiments et une rubrique particulière décrite au II déclinant les spécificités mises en œuvre par compartiment.</w:t>
      </w:r>
    </w:p>
    <w:p w:rsidR="00D310AF" w:rsidRPr="00B14768" w:rsidRDefault="00D310AF" w:rsidP="00B14768">
      <w:pPr>
        <w:pStyle w:val="AMFDate"/>
        <w:ind w:left="0"/>
        <w:jc w:val="both"/>
        <w:rPr>
          <w:rFonts w:asciiTheme="minorHAnsi" w:hAnsiTheme="minorHAnsi" w:cstheme="minorHAnsi"/>
          <w:b w:val="0"/>
          <w:szCs w:val="20"/>
        </w:rPr>
      </w:pPr>
    </w:p>
    <w:p w:rsidR="00D310AF"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hAnsiTheme="minorHAnsi" w:cstheme="minorHAnsi"/>
          <w:i/>
          <w:szCs w:val="20"/>
        </w:rPr>
        <w:t xml:space="preserve"> </w:t>
      </w:r>
      <w:r w:rsidR="006B232F" w:rsidRPr="006E6B89">
        <w:rPr>
          <w:rFonts w:asciiTheme="minorHAnsi" w:eastAsiaTheme="minorEastAsia" w:hAnsiTheme="minorHAnsi" w:cstheme="minorHAnsi"/>
          <w:b/>
          <w:bCs/>
          <w:sz w:val="20"/>
          <w:szCs w:val="19"/>
        </w:rPr>
        <w:t>Caractéristiques générales</w:t>
      </w:r>
    </w:p>
    <w:p w:rsidR="00B15C1A" w:rsidRDefault="00B15C1A" w:rsidP="00B15C1A">
      <w:pPr>
        <w:pStyle w:val="AMFDate"/>
        <w:ind w:left="0"/>
        <w:jc w:val="both"/>
        <w:rPr>
          <w:rFonts w:asciiTheme="minorHAnsi" w:hAnsiTheme="minorHAnsi" w:cstheme="minorHAnsi"/>
          <w:b w:val="0"/>
          <w:szCs w:val="20"/>
        </w:rPr>
      </w:pPr>
    </w:p>
    <w:p w:rsidR="00B15C1A" w:rsidRPr="00B15C1A" w:rsidRDefault="00B15C1A" w:rsidP="00D960FE">
      <w:pPr>
        <w:pStyle w:val="AMFDate"/>
        <w:ind w:left="0"/>
        <w:jc w:val="left"/>
        <w:rPr>
          <w:rFonts w:asciiTheme="minorHAnsi" w:hAnsiTheme="minorHAnsi" w:cstheme="minorHAnsi"/>
          <w:b w:val="0"/>
          <w:szCs w:val="20"/>
        </w:rPr>
      </w:pPr>
      <w:r w:rsidRPr="00B15C1A">
        <w:rPr>
          <w:rFonts w:asciiTheme="minorHAnsi" w:hAnsiTheme="minorHAnsi" w:cstheme="minorHAnsi"/>
          <w:b w:val="0"/>
          <w:szCs w:val="20"/>
        </w:rPr>
        <w:t>Cette partie comporte les indications suivantes :</w:t>
      </w:r>
    </w:p>
    <w:p w:rsidR="00D310AF" w:rsidRDefault="00D310AF" w:rsidP="00B14768">
      <w:pPr>
        <w:pStyle w:val="AMFDate"/>
        <w:ind w:left="0"/>
        <w:jc w:val="both"/>
        <w:rPr>
          <w:rFonts w:asciiTheme="minorHAnsi" w:hAnsiTheme="minorHAnsi" w:cstheme="minorHAnsi"/>
          <w:b w:val="0"/>
          <w:szCs w:val="20"/>
        </w:rPr>
      </w:pPr>
    </w:p>
    <w:p w:rsidR="00B15C1A" w:rsidRPr="006E6B89" w:rsidRDefault="00B15C1A"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Caractéristiques des parts ou actions</w:t>
      </w:r>
    </w:p>
    <w:p w:rsidR="00D310AF" w:rsidRDefault="00D310AF" w:rsidP="00B14768">
      <w:pPr>
        <w:pStyle w:val="AMFDate"/>
        <w:ind w:left="0"/>
        <w:jc w:val="both"/>
        <w:rPr>
          <w:rFonts w:asciiTheme="minorHAnsi" w:hAnsiTheme="minorHAnsi" w:cstheme="minorHAnsi"/>
          <w:b w:val="0"/>
          <w:szCs w:val="20"/>
        </w:rPr>
      </w:pPr>
    </w:p>
    <w:p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Code ISIN : Dans le cas de parts ou compartiments multiples, le code ISIN doit être uniquement renseigné dans le II ;</w:t>
      </w:r>
    </w:p>
    <w:p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Nature du droit attaché à la catégorie de parts ou d’actions ;</w:t>
      </w:r>
    </w:p>
    <w:p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Inscription à un registre, ou précision des modalités de tenue du passif ;</w:t>
      </w:r>
    </w:p>
    <w:p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Droits de vote :</w:t>
      </w:r>
    </w:p>
    <w:p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SICAV, mention des droits de vote attachés aux actions ;</w:t>
      </w:r>
    </w:p>
    <w:p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FCP, mention du fait qu’aucun droit de vote n’est attaché aux parts, les décisions étant prises par la société de gestion;</w:t>
      </w:r>
    </w:p>
    <w:p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Forme des parts ou actions : Nominatives / au porteur ;</w:t>
      </w:r>
    </w:p>
    <w:p w:rsidR="00D960FE" w:rsidRPr="00D960FE" w:rsidRDefault="00D960FE" w:rsidP="00C92C0A">
      <w:pPr>
        <w:pStyle w:val="Paragraphedeliste"/>
        <w:numPr>
          <w:ilvl w:val="0"/>
          <w:numId w:val="15"/>
        </w:numPr>
        <w:jc w:val="both"/>
        <w:rPr>
          <w:rFonts w:asciiTheme="minorHAnsi" w:hAnsiTheme="minorHAnsi" w:cstheme="minorHAnsi"/>
          <w:sz w:val="20"/>
          <w:szCs w:val="20"/>
        </w:rPr>
      </w:pPr>
      <w:r w:rsidRPr="00D960FE">
        <w:rPr>
          <w:rFonts w:asciiTheme="minorHAnsi" w:eastAsiaTheme="minorEastAsia" w:hAnsiTheme="minorHAnsi" w:cstheme="minorHAnsi"/>
          <w:bCs/>
          <w:sz w:val="20"/>
          <w:szCs w:val="20"/>
        </w:rPr>
        <w:t>Décimalisation</w:t>
      </w:r>
      <w:r w:rsidRPr="00D960FE">
        <w:rPr>
          <w:rFonts w:asciiTheme="minorHAnsi" w:hAnsiTheme="minorHAnsi" w:cstheme="minorHAnsi"/>
          <w:sz w:val="20"/>
          <w:szCs w:val="20"/>
        </w:rPr>
        <w:t xml:space="preserve"> éventuellement prévue (fractionnement).</w:t>
      </w:r>
    </w:p>
    <w:p w:rsidR="00D310AF" w:rsidRPr="00B14768" w:rsidRDefault="00D310AF" w:rsidP="00B14768">
      <w:pPr>
        <w:pStyle w:val="AMFDate"/>
        <w:ind w:left="0"/>
        <w:jc w:val="both"/>
        <w:rPr>
          <w:rFonts w:asciiTheme="minorHAnsi" w:hAnsiTheme="minorHAnsi" w:cstheme="minorHAnsi"/>
          <w:b w:val="0"/>
          <w:szCs w:val="20"/>
        </w:rPr>
      </w:pPr>
    </w:p>
    <w:p w:rsidR="00D310AF" w:rsidRPr="006E6B89" w:rsidRDefault="00340581"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Admission aux négociations sur un marché réglementé des parts ou actions d’un FIA dont l’objectif de gestion est fondé sur un indice</w:t>
      </w:r>
    </w:p>
    <w:p w:rsidR="00D310AF" w:rsidRPr="00B14768" w:rsidRDefault="00D310AF" w:rsidP="00B14768">
      <w:pPr>
        <w:pStyle w:val="AMFDate"/>
        <w:ind w:left="0"/>
        <w:jc w:val="both"/>
        <w:rPr>
          <w:rFonts w:asciiTheme="minorHAnsi" w:hAnsiTheme="minorHAnsi" w:cstheme="minorHAnsi"/>
          <w:b w:val="0"/>
          <w:szCs w:val="20"/>
        </w:rPr>
      </w:pPr>
    </w:p>
    <w:p w:rsidR="008C3995" w:rsidRP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 xml:space="preserve">Lorsqu’en application du II. de l'article D. 214-32-31 du code monétaire et financier selon lequel les actions ou parts de fonds d’investissement à vocation générale peuvent faire l’objet d'une admission aux négociations sur un marché réglementé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négociation des parts du Fonds : des seuils de réservation sont fixés en appliquant un pourcentage de variation de [X%] de part et d'autre de la Valeur Liquidative Indicative ou « </w:t>
      </w:r>
      <w:proofErr w:type="spellStart"/>
      <w:r w:rsidRPr="008C3995">
        <w:rPr>
          <w:rFonts w:asciiTheme="minorHAnsi" w:hAnsiTheme="minorHAnsi" w:cstheme="minorHAnsi"/>
          <w:b w:val="0"/>
          <w:szCs w:val="20"/>
        </w:rPr>
        <w:t>VLi</w:t>
      </w:r>
      <w:proofErr w:type="spellEnd"/>
      <w:r w:rsidRPr="008C3995">
        <w:rPr>
          <w:rFonts w:asciiTheme="minorHAnsi" w:hAnsiTheme="minorHAnsi" w:cstheme="minorHAnsi"/>
          <w:b w:val="0"/>
          <w:szCs w:val="20"/>
        </w:rPr>
        <w:t xml:space="preserve"> » (cf. section « Valeur Liquidative Indicative ») du Fonds, publiée par [Euronext Paris SA] et actualisée de manière estimative en cours de séance en fonction de la variation de l'Indice [X];</w:t>
      </w:r>
    </w:p>
    <w:p w:rsidR="00D310AF" w:rsidRDefault="00D310AF" w:rsidP="008C3995">
      <w:pPr>
        <w:pStyle w:val="AMFDate"/>
        <w:ind w:left="0"/>
        <w:jc w:val="both"/>
        <w:rPr>
          <w:rFonts w:asciiTheme="minorHAnsi" w:hAnsiTheme="minorHAnsi" w:cstheme="minorHAnsi"/>
          <w:b w:val="0"/>
          <w:szCs w:val="20"/>
        </w:rPr>
      </w:pPr>
    </w:p>
    <w:p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Les « Teneurs de marché » s'assurent que le cours de bourse des parts du Fonds ne s'écarte pas de plus de [X%] de part et d’autre de la valeur liquidative indicative du FIA, afin de respecter les seuils de réservation fixés par [Euronext Paris SA] (cf. section « valeur liquidative indicative »).</w:t>
      </w:r>
    </w:p>
    <w:p w:rsidR="008C3995" w:rsidRDefault="008C3995" w:rsidP="008C3995">
      <w:pPr>
        <w:pStyle w:val="AMFDate"/>
        <w:ind w:left="0"/>
        <w:jc w:val="both"/>
        <w:rPr>
          <w:rFonts w:asciiTheme="minorHAnsi" w:hAnsiTheme="minorHAnsi" w:cstheme="minorHAnsi"/>
          <w:b w:val="0"/>
          <w:szCs w:val="20"/>
        </w:rPr>
      </w:pPr>
    </w:p>
    <w:p w:rsidR="008C3995" w:rsidRPr="006E6B89" w:rsidRDefault="008C3995"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Date de clôture</w:t>
      </w:r>
    </w:p>
    <w:p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Précision de la date de clôture de l’exercice comptable.</w:t>
      </w:r>
    </w:p>
    <w:p w:rsidR="008C3995" w:rsidRDefault="008C3995" w:rsidP="008C3995">
      <w:pPr>
        <w:pStyle w:val="AMFDate"/>
        <w:ind w:left="0"/>
        <w:jc w:val="both"/>
        <w:rPr>
          <w:rFonts w:asciiTheme="minorHAnsi" w:hAnsiTheme="minorHAnsi" w:cstheme="minorHAnsi"/>
          <w:b w:val="0"/>
          <w:szCs w:val="20"/>
        </w:rPr>
      </w:pPr>
    </w:p>
    <w:p w:rsidR="008C3995" w:rsidRPr="006E6B89" w:rsidRDefault="006E6B89"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lastRenderedPageBreak/>
        <w:t>Indications sur le régime fiscal (si pertinent)</w:t>
      </w:r>
    </w:p>
    <w:p w:rsidR="008C3995"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Précision des retenues à la source effectuées (le cas échéant).</w:t>
      </w:r>
    </w:p>
    <w:p w:rsidR="00815E8C" w:rsidRDefault="00815E8C" w:rsidP="008C3995">
      <w:pPr>
        <w:pStyle w:val="AMFDate"/>
        <w:ind w:left="0"/>
        <w:jc w:val="both"/>
        <w:rPr>
          <w:rFonts w:asciiTheme="minorHAnsi" w:hAnsiTheme="minorHAnsi" w:cstheme="minorHAnsi"/>
          <w:b w:val="0"/>
          <w:szCs w:val="20"/>
        </w:rPr>
      </w:pPr>
    </w:p>
    <w:p w:rsidR="008C3995"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6E6B89">
        <w:rPr>
          <w:rFonts w:asciiTheme="minorHAnsi" w:eastAsiaTheme="minorEastAsia" w:hAnsiTheme="minorHAnsi" w:cstheme="minorHAnsi"/>
          <w:b/>
          <w:bCs/>
          <w:sz w:val="20"/>
          <w:szCs w:val="19"/>
        </w:rPr>
        <w:t>Dispositions particulières</w:t>
      </w:r>
    </w:p>
    <w:p w:rsidR="008C3995" w:rsidRDefault="008C3995" w:rsidP="008C3995">
      <w:pPr>
        <w:pStyle w:val="AMFDate"/>
        <w:ind w:left="0"/>
        <w:jc w:val="both"/>
        <w:rPr>
          <w:rFonts w:asciiTheme="minorHAnsi" w:hAnsiTheme="minorHAnsi" w:cstheme="minorHAnsi"/>
          <w:b w:val="0"/>
          <w:szCs w:val="20"/>
        </w:rPr>
      </w:pPr>
    </w:p>
    <w:p w:rsidR="006E6B89"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Les dispositions particulières ont vocation à décrire les spécificités de la gestion proposée par le FIA ou pour chaque compartiment du FIA :</w:t>
      </w:r>
    </w:p>
    <w:p w:rsidR="008C3995" w:rsidRDefault="008C3995" w:rsidP="008C3995">
      <w:pPr>
        <w:pStyle w:val="AMFDate"/>
        <w:ind w:left="0"/>
        <w:jc w:val="both"/>
        <w:rPr>
          <w:rFonts w:asciiTheme="minorHAnsi" w:hAnsiTheme="minorHAnsi" w:cstheme="minorHAnsi"/>
          <w:b w:val="0"/>
          <w:szCs w:val="20"/>
        </w:rPr>
      </w:pPr>
    </w:p>
    <w:p w:rsidR="00815E8C"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Code ISIN</w:t>
      </w:r>
    </w:p>
    <w:p w:rsidR="006E6B89" w:rsidRDefault="006E6B89" w:rsidP="008C3995">
      <w:pPr>
        <w:pStyle w:val="AMFDate"/>
        <w:ind w:left="0"/>
        <w:jc w:val="both"/>
        <w:rPr>
          <w:rFonts w:asciiTheme="minorHAnsi" w:hAnsiTheme="minorHAnsi" w:cstheme="minorHAnsi"/>
          <w:b w:val="0"/>
          <w:szCs w:val="20"/>
        </w:rPr>
      </w:pPr>
    </w:p>
    <w:p w:rsidR="008C3995"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Classification (le cas échéant)</w:t>
      </w:r>
    </w:p>
    <w:p w:rsidR="008C3995" w:rsidRDefault="00D24358" w:rsidP="008C3995">
      <w:pPr>
        <w:pStyle w:val="AMFDate"/>
        <w:ind w:left="0"/>
        <w:jc w:val="both"/>
        <w:rPr>
          <w:rFonts w:asciiTheme="minorHAnsi" w:hAnsiTheme="minorHAnsi" w:cstheme="minorHAnsi"/>
          <w:b w:val="0"/>
          <w:szCs w:val="20"/>
        </w:rPr>
      </w:pPr>
      <w:r w:rsidRPr="00D24358">
        <w:rPr>
          <w:rFonts w:asciiTheme="minorHAnsi" w:hAnsiTheme="minorHAnsi" w:cstheme="minorHAnsi"/>
          <w:b w:val="0"/>
          <w:szCs w:val="20"/>
        </w:rPr>
        <w:t>Pour les fonds monétaires, il convient d’indiquer les caractéristiques (cf. article 8-1 de l’instruction).</w:t>
      </w:r>
    </w:p>
    <w:p w:rsidR="008C3995" w:rsidRDefault="008C3995" w:rsidP="008C3995">
      <w:pPr>
        <w:pStyle w:val="AMFDate"/>
        <w:ind w:left="0"/>
        <w:jc w:val="both"/>
        <w:rPr>
          <w:rFonts w:asciiTheme="minorHAnsi" w:hAnsiTheme="minorHAnsi" w:cstheme="minorHAnsi"/>
          <w:b w:val="0"/>
          <w:szCs w:val="20"/>
        </w:rPr>
      </w:pPr>
    </w:p>
    <w:p w:rsidR="00D24358" w:rsidRDefault="00F00CFD" w:rsidP="00C92C0A">
      <w:pPr>
        <w:pStyle w:val="AMFDate"/>
        <w:numPr>
          <w:ilvl w:val="2"/>
          <w:numId w:val="6"/>
        </w:numPr>
        <w:jc w:val="both"/>
        <w:rPr>
          <w:rFonts w:asciiTheme="minorHAnsi" w:hAnsiTheme="minorHAnsi" w:cstheme="minorHAnsi"/>
          <w:b w:val="0"/>
          <w:szCs w:val="20"/>
        </w:rPr>
      </w:pPr>
      <w:r w:rsidRPr="00F00CFD">
        <w:rPr>
          <w:rFonts w:asciiTheme="minorHAnsi" w:hAnsiTheme="minorHAnsi" w:cstheme="minorHAnsi"/>
          <w:b w:val="0"/>
          <w:szCs w:val="20"/>
        </w:rPr>
        <w:t>Délégation de gestion financière</w:t>
      </w:r>
    </w:p>
    <w:p w:rsidR="008C3995" w:rsidRDefault="00F00CFD" w:rsidP="008C3995">
      <w:pPr>
        <w:pStyle w:val="AMFDate"/>
        <w:ind w:left="0"/>
        <w:jc w:val="both"/>
        <w:rPr>
          <w:rFonts w:asciiTheme="minorHAnsi" w:hAnsiTheme="minorHAnsi" w:cstheme="minorHAnsi"/>
          <w:b w:val="0"/>
          <w:szCs w:val="20"/>
        </w:rPr>
      </w:pPr>
      <w:r w:rsidRPr="00F00CFD">
        <w:rPr>
          <w:rFonts w:asciiTheme="minorHAnsi" w:hAnsiTheme="minorHAnsi" w:cstheme="minorHAnsi"/>
          <w:b w:val="0"/>
          <w:szCs w:val="20"/>
        </w:rPr>
        <w:t>Rappel du nom du délégataire, dans le cas de compartiments, le cas échéant.</w:t>
      </w:r>
    </w:p>
    <w:p w:rsidR="008C3995" w:rsidRDefault="008C3995" w:rsidP="008C3995">
      <w:pPr>
        <w:pStyle w:val="AMFDate"/>
        <w:ind w:left="0"/>
        <w:jc w:val="both"/>
        <w:rPr>
          <w:rFonts w:asciiTheme="minorHAnsi" w:hAnsiTheme="minorHAnsi" w:cstheme="minorHAnsi"/>
          <w:b w:val="0"/>
          <w:szCs w:val="20"/>
        </w:rPr>
      </w:pPr>
    </w:p>
    <w:p w:rsidR="008C3995" w:rsidRDefault="003D0CBA" w:rsidP="00C92C0A">
      <w:pPr>
        <w:pStyle w:val="AMFDate"/>
        <w:numPr>
          <w:ilvl w:val="2"/>
          <w:numId w:val="6"/>
        </w:numPr>
        <w:jc w:val="both"/>
        <w:rPr>
          <w:rFonts w:asciiTheme="minorHAnsi" w:hAnsiTheme="minorHAnsi" w:cstheme="minorHAnsi"/>
          <w:b w:val="0"/>
          <w:szCs w:val="20"/>
        </w:rPr>
      </w:pPr>
      <w:r w:rsidRPr="003D0CBA">
        <w:rPr>
          <w:rFonts w:asciiTheme="minorHAnsi" w:hAnsiTheme="minorHAnsi" w:cstheme="minorHAnsi"/>
          <w:b w:val="0"/>
          <w:szCs w:val="20"/>
        </w:rPr>
        <w:t>Présentation des rubriques</w:t>
      </w:r>
    </w:p>
    <w:p w:rsidR="00C92C0A" w:rsidRDefault="00C92C0A" w:rsidP="008C3995">
      <w:pPr>
        <w:pStyle w:val="AMFDate"/>
        <w:ind w:left="0"/>
        <w:jc w:val="both"/>
        <w:rPr>
          <w:rFonts w:asciiTheme="minorHAnsi" w:hAnsiTheme="minorHAnsi" w:cstheme="minorHAnsi"/>
          <w:b w:val="0"/>
          <w:szCs w:val="20"/>
        </w:rPr>
      </w:pPr>
    </w:p>
    <w:p w:rsidR="008C3995" w:rsidRDefault="003D0CBA" w:rsidP="008C3995">
      <w:pPr>
        <w:pStyle w:val="AMFDate"/>
        <w:ind w:left="0"/>
        <w:jc w:val="both"/>
        <w:rPr>
          <w:rFonts w:asciiTheme="minorHAnsi" w:hAnsiTheme="minorHAnsi" w:cstheme="minorHAnsi"/>
          <w:b w:val="0"/>
          <w:szCs w:val="20"/>
        </w:rPr>
      </w:pPr>
      <w:r w:rsidRPr="003D0CBA">
        <w:rPr>
          <w:rFonts w:asciiTheme="minorHAnsi" w:hAnsiTheme="minorHAnsi" w:cstheme="minorHAnsi"/>
          <w:b w:val="0"/>
          <w:szCs w:val="20"/>
        </w:rPr>
        <w:t>Les techniques et instruments utilisés doivent être cohérents avec la gestion envisagée, les moyens de la société de gestion et son programme d’activité validé par l’AMF.</w:t>
      </w:r>
    </w:p>
    <w:p w:rsidR="008C3995" w:rsidRDefault="008C3995" w:rsidP="008C3995">
      <w:pPr>
        <w:pStyle w:val="AMFDate"/>
        <w:ind w:left="0"/>
        <w:jc w:val="both"/>
        <w:rPr>
          <w:rFonts w:asciiTheme="minorHAnsi" w:hAnsiTheme="minorHAnsi" w:cstheme="minorHAnsi"/>
          <w:b w:val="0"/>
          <w:szCs w:val="20"/>
        </w:rPr>
      </w:pPr>
    </w:p>
    <w:p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 xml:space="preserve">Les mentions génériques du document d’information clé pour l’investisseur (DICI), telles que « swap » ou « dérivés de crédit » devront être respectivement déclinées par type de contrat tel que : swap de taux, swap de change, </w:t>
      </w:r>
      <w:r>
        <w:rPr>
          <w:rFonts w:asciiTheme="minorHAnsi" w:hAnsiTheme="minorHAnsi" w:cstheme="minorHAnsi"/>
          <w:b w:val="0"/>
          <w:szCs w:val="20"/>
        </w:rPr>
        <w:t>cré</w:t>
      </w:r>
      <w:r w:rsidRPr="00C92C0A">
        <w:rPr>
          <w:rFonts w:asciiTheme="minorHAnsi" w:hAnsiTheme="minorHAnsi" w:cstheme="minorHAnsi"/>
          <w:b w:val="0"/>
          <w:szCs w:val="20"/>
        </w:rPr>
        <w:t>dit default swap, total return swap. L’utilisation des contrats financiers doit être décrite de façon économique, en déclinant par technique de gestion utilisée.</w:t>
      </w:r>
    </w:p>
    <w:p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u w:val="single"/>
        </w:rPr>
        <w:t>Exemple</w:t>
      </w:r>
      <w:r w:rsidRPr="00C92C0A">
        <w:rPr>
          <w:rFonts w:asciiTheme="minorHAnsi" w:hAnsiTheme="minorHAnsi" w:cstheme="minorHAnsi"/>
          <w:b w:val="0"/>
          <w:szCs w:val="20"/>
        </w:rPr>
        <w:t xml:space="preserve"> : </w:t>
      </w:r>
      <w:r>
        <w:rPr>
          <w:rFonts w:asciiTheme="minorHAnsi" w:hAnsiTheme="minorHAnsi" w:cstheme="minorHAnsi"/>
          <w:b w:val="0"/>
          <w:szCs w:val="20"/>
        </w:rPr>
        <w:t>E</w:t>
      </w:r>
      <w:r w:rsidRPr="00C92C0A">
        <w:rPr>
          <w:rFonts w:asciiTheme="minorHAnsi" w:hAnsiTheme="minorHAnsi" w:cstheme="minorHAnsi"/>
          <w:b w:val="0"/>
          <w:szCs w:val="20"/>
        </w:rPr>
        <w:t>xposition à l’indice X entre 100 % et 130 % de l’actif, représentative d’un effet de levier de 1,3.</w:t>
      </w:r>
    </w:p>
    <w:p w:rsidR="008C3995" w:rsidRDefault="008C3995" w:rsidP="008C3995">
      <w:pPr>
        <w:pStyle w:val="AMFDate"/>
        <w:ind w:left="0"/>
        <w:jc w:val="both"/>
        <w:rPr>
          <w:rFonts w:asciiTheme="minorHAnsi" w:hAnsiTheme="minorHAnsi" w:cstheme="minorHAnsi"/>
          <w:b w:val="0"/>
          <w:szCs w:val="20"/>
        </w:rPr>
      </w:pPr>
    </w:p>
    <w:p w:rsid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Les instruments spécifiques utilisés, lorsqu’ils nécessitent un suivi particulier ou présentent des risques ou caractéristiques spécifiques (liquidité, valorisation, forme juridique, etc.), doivent être mentionnés dans le prospectus.</w:t>
      </w:r>
    </w:p>
    <w:p w:rsidR="00C92C0A" w:rsidRDefault="00C92C0A" w:rsidP="00C92C0A">
      <w:pPr>
        <w:pStyle w:val="AMFDate"/>
        <w:ind w:left="0"/>
        <w:jc w:val="both"/>
        <w:rPr>
          <w:rFonts w:asciiTheme="minorHAnsi" w:hAnsiTheme="minorHAnsi" w:cstheme="minorHAnsi"/>
          <w:b w:val="0"/>
          <w:szCs w:val="20"/>
        </w:rPr>
      </w:pPr>
    </w:p>
    <w:p w:rsidR="00C92C0A" w:rsidRP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À titre d’exemple, les instruments suivants ne sont pas considérés comme des instruments spécifiques :</w:t>
      </w:r>
    </w:p>
    <w:p w:rsidR="00C92C0A" w:rsidRPr="00C92C0A" w:rsidRDefault="00C92C0A" w:rsidP="00C92C0A">
      <w:pPr>
        <w:pStyle w:val="AMFDate"/>
        <w:numPr>
          <w:ilvl w:val="0"/>
          <w:numId w:val="17"/>
        </w:numPr>
        <w:jc w:val="both"/>
        <w:rPr>
          <w:rFonts w:asciiTheme="minorHAnsi" w:hAnsiTheme="minorHAnsi" w:cstheme="minorHAnsi"/>
          <w:b w:val="0"/>
          <w:szCs w:val="20"/>
        </w:rPr>
      </w:pPr>
      <w:r w:rsidRPr="00C92C0A">
        <w:rPr>
          <w:rFonts w:asciiTheme="minorHAnsi" w:hAnsiTheme="minorHAnsi" w:cstheme="minorHAnsi"/>
          <w:b w:val="0"/>
          <w:szCs w:val="20"/>
        </w:rPr>
        <w:t>Valeurs mobilières classiques ;</w:t>
      </w:r>
    </w:p>
    <w:p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 xml:space="preserve">Futures et options négociés sur un marché réglementé ; </w:t>
      </w:r>
    </w:p>
    <w:p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Opérations de change à terme ;</w:t>
      </w:r>
    </w:p>
    <w:p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Swaps de taux simples (taux fixe/taux variable - taux variable/taux fixe - taux variable/taux variable).</w:t>
      </w:r>
    </w:p>
    <w:p w:rsidR="005A3248" w:rsidRPr="005A3248" w:rsidRDefault="005A3248" w:rsidP="005A3248">
      <w:pPr>
        <w:pStyle w:val="AMFDate"/>
        <w:ind w:left="0"/>
        <w:jc w:val="both"/>
        <w:rPr>
          <w:rFonts w:asciiTheme="minorHAnsi" w:hAnsiTheme="minorHAnsi" w:cstheme="minorHAnsi"/>
          <w:b w:val="0"/>
          <w:szCs w:val="20"/>
        </w:rPr>
      </w:pPr>
      <w:r w:rsidRPr="005A3248">
        <w:rPr>
          <w:rFonts w:asciiTheme="minorHAnsi" w:hAnsiTheme="minorHAnsi" w:cstheme="minorHAnsi"/>
          <w:b w:val="0"/>
          <w:szCs w:val="20"/>
        </w:rPr>
        <w:t>Les instruments suivants sont considérés comme des instruments spécifiques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Options de gré à gré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Dérivés de crédit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Swaps autres que ceux mentionnés ci-dessus, swaps actions, à composante optionnelle, etc.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 xml:space="preserve">Instruments à dérivé intégré (warrants, EMTN, ...) ;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Titrisation, en précisant leur nature (OT, OFS, ABS, MBS, CDO...) et ABCP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FCPR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FCPI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FCIMT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Opérations d’acquisitions et cessions temporaires de titres présentant des particularités, notamment en terme de rémunération ;</w:t>
      </w:r>
    </w:p>
    <w:p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Instruments dont la liquidité est incertaine ou la valorisation délicate (valeurs non cotées, emprunts contrôlés, obligations contingentes c</w:t>
      </w:r>
      <w:r>
        <w:rPr>
          <w:rFonts w:asciiTheme="minorHAnsi" w:hAnsiTheme="minorHAnsi" w:cstheme="minorHAnsi"/>
          <w:b w:val="0"/>
          <w:szCs w:val="20"/>
        </w:rPr>
        <w:t xml:space="preserve">onvertibles, appelées « </w:t>
      </w:r>
      <w:proofErr w:type="spellStart"/>
      <w:r>
        <w:rPr>
          <w:rFonts w:asciiTheme="minorHAnsi" w:hAnsiTheme="minorHAnsi" w:cstheme="minorHAnsi"/>
          <w:b w:val="0"/>
          <w:szCs w:val="20"/>
        </w:rPr>
        <w:t>CoCos</w:t>
      </w:r>
      <w:proofErr w:type="spellEnd"/>
      <w:r w:rsidR="0095589C">
        <w:rPr>
          <w:rStyle w:val="Appelnotedebasdep"/>
          <w:rFonts w:asciiTheme="minorHAnsi" w:hAnsiTheme="minorHAnsi" w:cstheme="minorHAnsi"/>
          <w:b w:val="0"/>
          <w:szCs w:val="20"/>
        </w:rPr>
        <w:footnoteReference w:id="4"/>
      </w:r>
      <w:r>
        <w:rPr>
          <w:rFonts w:asciiTheme="minorHAnsi" w:hAnsiTheme="minorHAnsi" w:cstheme="minorHAnsi"/>
          <w:b w:val="0"/>
          <w:szCs w:val="20"/>
        </w:rPr>
        <w:t xml:space="preserve"> »</w:t>
      </w:r>
      <w:r w:rsidRPr="005A3248">
        <w:rPr>
          <w:rFonts w:asciiTheme="minorHAnsi" w:hAnsiTheme="minorHAnsi" w:cstheme="minorHAnsi"/>
          <w:b w:val="0"/>
          <w:szCs w:val="20"/>
        </w:rPr>
        <w:t>, etc.) ;</w:t>
      </w:r>
    </w:p>
    <w:p w:rsidR="008C3995"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lastRenderedPageBreak/>
        <w:t>Et tous les instruments qui relèvent du ratio des autres valeurs.</w:t>
      </w:r>
    </w:p>
    <w:p w:rsidR="008C3995" w:rsidRDefault="008C3995" w:rsidP="008C3995">
      <w:pPr>
        <w:pStyle w:val="AMFDate"/>
        <w:ind w:left="0"/>
        <w:jc w:val="both"/>
        <w:rPr>
          <w:rFonts w:asciiTheme="minorHAnsi" w:hAnsiTheme="minorHAnsi" w:cstheme="minorHAnsi"/>
          <w:b w:val="0"/>
          <w:szCs w:val="20"/>
        </w:rPr>
      </w:pPr>
    </w:p>
    <w:p w:rsidR="008C3995" w:rsidRDefault="00AF2129" w:rsidP="00AF2129">
      <w:pPr>
        <w:pStyle w:val="AMFDate"/>
        <w:numPr>
          <w:ilvl w:val="2"/>
          <w:numId w:val="6"/>
        </w:numPr>
        <w:jc w:val="both"/>
        <w:rPr>
          <w:rFonts w:asciiTheme="minorHAnsi" w:hAnsiTheme="minorHAnsi" w:cstheme="minorHAnsi"/>
          <w:b w:val="0"/>
          <w:szCs w:val="20"/>
        </w:rPr>
      </w:pPr>
      <w:r w:rsidRPr="00AF2129">
        <w:rPr>
          <w:rFonts w:asciiTheme="minorHAnsi" w:hAnsiTheme="minorHAnsi" w:cstheme="minorHAnsi"/>
          <w:b w:val="0"/>
          <w:szCs w:val="20"/>
        </w:rPr>
        <w:t>Objectif de gestion</w:t>
      </w:r>
    </w:p>
    <w:p w:rsidR="00E54427" w:rsidRDefault="00E54427" w:rsidP="00AF2129">
      <w:pPr>
        <w:pStyle w:val="AMFDate"/>
        <w:ind w:left="0"/>
        <w:jc w:val="both"/>
        <w:rPr>
          <w:rFonts w:asciiTheme="minorHAnsi" w:hAnsiTheme="minorHAnsi" w:cstheme="minorHAnsi"/>
          <w:b w:val="0"/>
          <w:szCs w:val="20"/>
        </w:rPr>
      </w:pPr>
    </w:p>
    <w:p w:rsidR="00AF2129" w:rsidRDefault="00AF2129" w:rsidP="00AF2129">
      <w:pPr>
        <w:pStyle w:val="AMFDate"/>
        <w:ind w:left="0"/>
        <w:jc w:val="both"/>
        <w:rPr>
          <w:rFonts w:asciiTheme="minorHAnsi" w:hAnsiTheme="minorHAnsi" w:cstheme="minorHAnsi"/>
          <w:b w:val="0"/>
          <w:szCs w:val="20"/>
        </w:rPr>
      </w:pPr>
      <w:r w:rsidRPr="00AF2129">
        <w:rPr>
          <w:rFonts w:asciiTheme="minorHAnsi" w:hAnsiTheme="minorHAnsi" w:cstheme="minorHAnsi"/>
          <w:b w:val="0"/>
          <w:szCs w:val="20"/>
        </w:rPr>
        <w:t>Cette rubrique explique quels sont les objectifs de gestion poursuivis par le FIA. Les informations figurant dans le document d’information clé pour l’investisseur (DICI) peuvent être complétées par des considérations plus techniques, relevant du prospectus.</w:t>
      </w:r>
    </w:p>
    <w:p w:rsidR="008C3995" w:rsidRDefault="008C3995" w:rsidP="008C3995">
      <w:pPr>
        <w:pStyle w:val="AMFDate"/>
        <w:ind w:left="0"/>
        <w:jc w:val="both"/>
        <w:rPr>
          <w:rFonts w:asciiTheme="minorHAnsi" w:hAnsiTheme="minorHAnsi" w:cstheme="minorHAnsi"/>
          <w:b w:val="0"/>
          <w:szCs w:val="20"/>
        </w:rPr>
      </w:pPr>
    </w:p>
    <w:p w:rsidR="008C3995" w:rsidRDefault="00E54427" w:rsidP="00E54427">
      <w:pPr>
        <w:pStyle w:val="AMFDate"/>
        <w:numPr>
          <w:ilvl w:val="2"/>
          <w:numId w:val="6"/>
        </w:numPr>
        <w:jc w:val="both"/>
        <w:rPr>
          <w:rFonts w:asciiTheme="minorHAnsi" w:hAnsiTheme="minorHAnsi" w:cstheme="minorHAnsi"/>
          <w:b w:val="0"/>
          <w:szCs w:val="20"/>
        </w:rPr>
      </w:pPr>
      <w:r w:rsidRPr="00E54427">
        <w:rPr>
          <w:rFonts w:asciiTheme="minorHAnsi" w:hAnsiTheme="minorHAnsi" w:cstheme="minorHAnsi"/>
          <w:b w:val="0"/>
          <w:szCs w:val="20"/>
        </w:rPr>
        <w:t>Indicateur de référence</w:t>
      </w:r>
    </w:p>
    <w:p w:rsidR="008C3995" w:rsidRDefault="008C3995" w:rsidP="008C3995">
      <w:pPr>
        <w:pStyle w:val="AMFDate"/>
        <w:ind w:left="0"/>
        <w:jc w:val="both"/>
        <w:rPr>
          <w:rFonts w:asciiTheme="minorHAnsi" w:hAnsiTheme="minorHAnsi" w:cstheme="minorHAnsi"/>
          <w:b w:val="0"/>
          <w:szCs w:val="20"/>
        </w:rPr>
      </w:pPr>
    </w:p>
    <w:p w:rsidR="0027765B" w:rsidRP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 xml:space="preserve">L’objectif de cette rubrique est de fournir un étalon auquel l’investisseur pourra comparer la performance et le risque pris par le FIA. Selon l’objectif de gestion du FIA,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 la performance de </w:t>
      </w:r>
      <w:r w:rsidR="00B51263">
        <w:rPr>
          <w:rFonts w:asciiTheme="minorHAnsi" w:hAnsiTheme="minorHAnsi" w:cstheme="minorHAnsi"/>
          <w:b w:val="0"/>
          <w:szCs w:val="20"/>
        </w:rPr>
        <w:t xml:space="preserve">l’indicateur X [inclut/n’inclut </w:t>
      </w:r>
      <w:r w:rsidRPr="0027765B">
        <w:rPr>
          <w:rFonts w:asciiTheme="minorHAnsi" w:hAnsiTheme="minorHAnsi" w:cstheme="minorHAnsi"/>
          <w:b w:val="0"/>
          <w:szCs w:val="20"/>
        </w:rPr>
        <w:t xml:space="preserve">pas] les dividendes détachés par les [actions/OPCVM/ FIA] qui composent l’indicateur ». </w:t>
      </w:r>
    </w:p>
    <w:p w:rsidR="0027765B" w:rsidRDefault="0027765B" w:rsidP="0027765B">
      <w:pPr>
        <w:pStyle w:val="AMFDate"/>
        <w:ind w:left="0"/>
        <w:jc w:val="both"/>
        <w:rPr>
          <w:rFonts w:asciiTheme="minorHAnsi" w:hAnsiTheme="minorHAnsi" w:cstheme="minorHAnsi"/>
          <w:b w:val="0"/>
          <w:szCs w:val="20"/>
        </w:rPr>
      </w:pPr>
    </w:p>
    <w:p w:rsidR="0027765B" w:rsidRP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Le prospectus complète l’information synthétique communiquée dans le document d’information clé pour l’investisseur (DICI), rappelée ci-dessus, en indiquant, le cas échéant, la corrélation recherchée, ou toute information pertinente permettant d’apprécier le FIA au regard de l’indicateur désigné.</w:t>
      </w:r>
    </w:p>
    <w:p w:rsidR="008C3995" w:rsidRPr="0027765B" w:rsidRDefault="008C3995" w:rsidP="0027765B">
      <w:pPr>
        <w:pStyle w:val="AMFDate"/>
        <w:ind w:left="0"/>
        <w:jc w:val="both"/>
        <w:rPr>
          <w:rFonts w:asciiTheme="minorHAnsi" w:hAnsiTheme="minorHAnsi" w:cstheme="minorHAnsi"/>
          <w:b w:val="0"/>
          <w:szCs w:val="20"/>
        </w:rPr>
      </w:pPr>
    </w:p>
    <w:p w:rsidR="007A39C7" w:rsidRPr="007A39C7" w:rsidRDefault="007A39C7" w:rsidP="007A39C7">
      <w:pPr>
        <w:pStyle w:val="AMFDoctrineEncadr"/>
        <w:spacing w:line="360" w:lineRule="auto"/>
        <w:rPr>
          <w:b w:val="0"/>
          <w:iCs/>
        </w:rPr>
      </w:pPr>
      <w:r w:rsidRPr="007A39C7">
        <w:rPr>
          <w:b w:val="0"/>
          <w:iCs/>
        </w:rPr>
        <w:t>Lorsque cet indicateur de référence est utilisé au sens du règlement (UE) 2016/1011 du Parlement européen et du Conseil par le FIA, le prospectus doit également indiquer :</w:t>
      </w:r>
    </w:p>
    <w:p w:rsidR="007A39C7" w:rsidRPr="007A39C7" w:rsidRDefault="007A39C7" w:rsidP="007A39C7">
      <w:pPr>
        <w:pStyle w:val="AMFDoctrineEncadr"/>
        <w:spacing w:line="360" w:lineRule="auto"/>
        <w:rPr>
          <w:b w:val="0"/>
          <w:iCs/>
        </w:rPr>
      </w:pPr>
      <w:r w:rsidRPr="007A39C7">
        <w:rPr>
          <w:b w:val="0"/>
        </w:rPr>
        <w:t>a) l’identité de son administrateur</w:t>
      </w:r>
      <w:r w:rsidRPr="007A39C7">
        <w:rPr>
          <w:b w:val="0"/>
          <w:vertAlign w:val="superscript"/>
        </w:rPr>
        <w:footnoteReference w:id="5"/>
      </w:r>
      <w:r w:rsidRPr="007A39C7">
        <w:rPr>
          <w:b w:val="0"/>
        </w:rPr>
        <w:t> ;</w:t>
      </w:r>
    </w:p>
    <w:p w:rsidR="007A39C7" w:rsidRPr="007A39C7" w:rsidRDefault="007A39C7" w:rsidP="007A39C7">
      <w:pPr>
        <w:pStyle w:val="AMFDoctrineEncadr"/>
        <w:spacing w:line="360" w:lineRule="auto"/>
        <w:rPr>
          <w:b w:val="0"/>
          <w:i/>
          <w:iCs/>
        </w:rPr>
      </w:pPr>
      <w:r w:rsidRPr="007A39C7">
        <w:rPr>
          <w:b w:val="0"/>
        </w:rPr>
        <w:t xml:space="preserve">b) si cet administrateur est inscrit au registre d’administrateurs et d’indices de référence tenu par l’ESMA </w:t>
      </w:r>
      <w:r w:rsidRPr="007A39C7">
        <w:rPr>
          <w:b w:val="0"/>
          <w:iCs/>
        </w:rPr>
        <w:t>;</w:t>
      </w:r>
    </w:p>
    <w:p w:rsidR="007A39C7" w:rsidRPr="007A39C7" w:rsidRDefault="007A39C7" w:rsidP="007A39C7">
      <w:pPr>
        <w:pStyle w:val="AMFDoctrineEncadr"/>
        <w:spacing w:line="360" w:lineRule="auto"/>
        <w:rPr>
          <w:b w:val="0"/>
          <w:i/>
          <w:iCs/>
        </w:rPr>
      </w:pPr>
      <w:r w:rsidRPr="007A39C7">
        <w:rPr>
          <w:b w:val="0"/>
        </w:rPr>
        <w:t>c) que des informations complémentaires sur l’indice de référence sont accessibles via le site internet de l’administrateur (préciser le lien hypertexte). La société de gestion s’assure, lors des mises à jour ultérieures du prospectus du FIA, que le lien est toujours valable.</w:t>
      </w:r>
    </w:p>
    <w:p w:rsidR="007A39C7" w:rsidRPr="007A39C7" w:rsidRDefault="007A39C7" w:rsidP="007A39C7">
      <w:pPr>
        <w:pStyle w:val="AMFDoctrineEncadr"/>
        <w:spacing w:line="360" w:lineRule="auto"/>
        <w:rPr>
          <w:b w:val="0"/>
          <w:iCs/>
        </w:rPr>
      </w:pPr>
      <w:r w:rsidRPr="007A39C7">
        <w:rPr>
          <w:b w:val="0"/>
          <w:iCs/>
        </w:rPr>
        <w:t>Pour les FIA agréés à compter du 1</w:t>
      </w:r>
      <w:r w:rsidRPr="007A39C7">
        <w:rPr>
          <w:b w:val="0"/>
          <w:iCs/>
          <w:vertAlign w:val="superscript"/>
        </w:rPr>
        <w:t>er</w:t>
      </w:r>
      <w:r w:rsidRPr="007A39C7">
        <w:rPr>
          <w:b w:val="0"/>
          <w:iCs/>
        </w:rPr>
        <w:t xml:space="preserve"> janvier 2018, si l’administrateur de l’indice de référence utilisé n’est pas encore inscrit sur le registre de l’ESMA au moment où le FIA est agréé, la mention prévue au b) peut être insérée dans le prospectus dudit FIA une fois seulement que l’administrateur est inscrit sur le registre.</w:t>
      </w:r>
    </w:p>
    <w:p w:rsidR="007A39C7" w:rsidRPr="007A39C7" w:rsidRDefault="007A39C7" w:rsidP="007A39C7">
      <w:pPr>
        <w:pStyle w:val="AMFDoctrineEncadr"/>
        <w:spacing w:line="360" w:lineRule="auto"/>
        <w:rPr>
          <w:b w:val="0"/>
          <w:iCs/>
        </w:rPr>
      </w:pPr>
      <w:r w:rsidRPr="007A39C7">
        <w:rPr>
          <w:b w:val="0"/>
          <w:iCs/>
        </w:rPr>
        <w:t>Les prospectus des FIA existants avant le 1</w:t>
      </w:r>
      <w:r w:rsidRPr="007A39C7">
        <w:rPr>
          <w:b w:val="0"/>
          <w:iCs/>
          <w:vertAlign w:val="superscript"/>
        </w:rPr>
        <w:t>er</w:t>
      </w:r>
      <w:r w:rsidRPr="007A39C7">
        <w:rPr>
          <w:b w:val="0"/>
          <w:iCs/>
        </w:rPr>
        <w:t xml:space="preserve"> janvier 2018 devront être mis à jour afin d’insérer les mentions a), b) et c) dès que possible et au plus tard le 1</w:t>
      </w:r>
      <w:r w:rsidRPr="007A39C7">
        <w:rPr>
          <w:b w:val="0"/>
          <w:iCs/>
          <w:vertAlign w:val="superscript"/>
        </w:rPr>
        <w:t>er</w:t>
      </w:r>
      <w:r w:rsidRPr="007A39C7">
        <w:rPr>
          <w:b w:val="0"/>
          <w:iCs/>
        </w:rPr>
        <w:t xml:space="preserve"> janvier 2021.</w:t>
      </w:r>
    </w:p>
    <w:p w:rsidR="007A39C7" w:rsidRPr="00AE69D0" w:rsidRDefault="007A39C7" w:rsidP="007A39C7">
      <w:pPr>
        <w:jc w:val="both"/>
        <w:rPr>
          <w:rFonts w:asciiTheme="minorHAnsi" w:hAnsiTheme="minorHAnsi" w:cstheme="minorHAnsi"/>
          <w:sz w:val="20"/>
          <w:szCs w:val="20"/>
        </w:rPr>
      </w:pPr>
    </w:p>
    <w:p w:rsidR="008C3995" w:rsidRDefault="00C07571" w:rsidP="00C07571">
      <w:pPr>
        <w:pStyle w:val="AMFDate"/>
        <w:numPr>
          <w:ilvl w:val="2"/>
          <w:numId w:val="6"/>
        </w:numPr>
        <w:jc w:val="both"/>
        <w:rPr>
          <w:rFonts w:asciiTheme="minorHAnsi" w:hAnsiTheme="minorHAnsi" w:cstheme="minorHAnsi"/>
          <w:b w:val="0"/>
          <w:szCs w:val="20"/>
        </w:rPr>
      </w:pPr>
      <w:r w:rsidRPr="00C07571">
        <w:rPr>
          <w:rFonts w:asciiTheme="minorHAnsi" w:hAnsiTheme="minorHAnsi" w:cstheme="minorHAnsi"/>
          <w:b w:val="0"/>
          <w:szCs w:val="20"/>
        </w:rPr>
        <w:t>Stratégie d'investissement</w:t>
      </w:r>
    </w:p>
    <w:p w:rsidR="008C3995" w:rsidRDefault="008C3995" w:rsidP="008C3995">
      <w:pPr>
        <w:pStyle w:val="AMFDate"/>
        <w:ind w:left="0"/>
        <w:jc w:val="both"/>
        <w:rPr>
          <w:rFonts w:asciiTheme="minorHAnsi" w:hAnsiTheme="minorHAnsi" w:cstheme="minorHAnsi"/>
          <w:b w:val="0"/>
          <w:szCs w:val="20"/>
        </w:rPr>
      </w:pPr>
    </w:p>
    <w:p w:rsidR="008C3995" w:rsidRDefault="00C07571" w:rsidP="008C3995">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L’objectif de cette rubrique est d’expliquer comment la société de gestion s’efforcera d’atteindre l’objectif de gestion affiché. D’une manière générale, elle doit comprendre :</w:t>
      </w:r>
    </w:p>
    <w:p w:rsidR="008C3995" w:rsidRDefault="008C3995" w:rsidP="008C3995">
      <w:pPr>
        <w:pStyle w:val="AMFDate"/>
        <w:ind w:left="0"/>
        <w:jc w:val="both"/>
        <w:rPr>
          <w:rFonts w:asciiTheme="minorHAnsi" w:hAnsiTheme="minorHAnsi" w:cstheme="minorHAnsi"/>
          <w:b w:val="0"/>
          <w:szCs w:val="20"/>
        </w:rPr>
      </w:pPr>
    </w:p>
    <w:p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w:t>
      </w:r>
      <w:r>
        <w:rPr>
          <w:rFonts w:asciiTheme="minorHAnsi" w:eastAsiaTheme="minorEastAsia" w:hAnsiTheme="minorHAnsi" w:cstheme="minorHAnsi"/>
          <w:bCs/>
          <w:sz w:val="20"/>
          <w:szCs w:val="20"/>
        </w:rPr>
        <w:t>iption des stratégies utilisées</w:t>
      </w:r>
    </w:p>
    <w:p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Le prospectus décrit de manière complète les différentes stratégies utilisées pour atteindre l’objectif de gestion. Elle doit notamment préciser, le cas échéant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lastRenderedPageBreak/>
        <w:t>L’existence de stratégies particulières concernant des secteurs industriels, géographiques ou d’une autre nature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 xml:space="preserve">Le fait que le FIA </w:t>
      </w:r>
      <w:proofErr w:type="gramStart"/>
      <w:r w:rsidRPr="00C07571">
        <w:rPr>
          <w:rFonts w:asciiTheme="minorHAnsi" w:hAnsiTheme="minorHAnsi" w:cstheme="minorHAnsi"/>
          <w:b w:val="0"/>
          <w:szCs w:val="20"/>
        </w:rPr>
        <w:t>a</w:t>
      </w:r>
      <w:proofErr w:type="gramEnd"/>
      <w:r w:rsidRPr="00C07571">
        <w:rPr>
          <w:rFonts w:asciiTheme="minorHAnsi" w:hAnsiTheme="minorHAnsi" w:cstheme="minorHAnsi"/>
          <w:b w:val="0"/>
          <w:szCs w:val="20"/>
        </w:rPr>
        <w:t xml:space="preserve"> une stratégie de constitution d’un portefeuille d’actifs diversifié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d’interventions sur des catégories particulières d’actifs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 style de gestion adopté (par exemple, relation entre l’indice et l’objectif de performance du fonds ou recherche de rendement absolu)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circonstances dans lesquelles le FIA peut faire appel à l’effet de levier, les types d’effets de levier et les sources des effets de levier autorisés.</w:t>
      </w:r>
    </w:p>
    <w:p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 xml:space="preserve">Pour les fonds indiciels, cette rubrique décrit les modalités de gestion mises en œuvre par la société de gestion pour répliquer l’indice (notamment réplication physique, description des instruments dérivés utilisés). </w:t>
      </w:r>
    </w:p>
    <w:p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Dans cette rubrique, le FIA précise s’il utilise ou non les ratios dérogatoires énoncés à l’article R. 214-32-30 du code monétaire et financier.</w:t>
      </w:r>
    </w:p>
    <w:p w:rsidR="008C3995" w:rsidRPr="00C07571" w:rsidRDefault="008C3995" w:rsidP="00C07571">
      <w:pPr>
        <w:pStyle w:val="AMFDate"/>
        <w:ind w:left="0"/>
        <w:jc w:val="both"/>
        <w:rPr>
          <w:rFonts w:asciiTheme="minorHAnsi" w:hAnsiTheme="minorHAnsi" w:cstheme="minorHAnsi"/>
          <w:b w:val="0"/>
          <w:szCs w:val="20"/>
        </w:rPr>
      </w:pPr>
    </w:p>
    <w:p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description des catégories d’actifs et de contrats financiers dans lesquels le FIA entend investir et leur contribution à la réalisation de l’objectif de gestion.</w:t>
      </w:r>
    </w:p>
    <w:p w:rsidR="00C07571" w:rsidRDefault="00C07571" w:rsidP="00C07571">
      <w:pPr>
        <w:pStyle w:val="AMFDate"/>
        <w:ind w:left="0"/>
        <w:jc w:val="both"/>
        <w:rPr>
          <w:rFonts w:asciiTheme="minorHAnsi" w:hAnsiTheme="minorHAnsi" w:cstheme="minorHAnsi"/>
          <w:b w:val="0"/>
          <w:szCs w:val="20"/>
        </w:rPr>
      </w:pPr>
    </w:p>
    <w:p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Pour les actifs hors dérivés intégrés, le prospectus doit mentionner l’ensemble des classes d’actifs qui entreront dans la composition de l’actif du FIA. Le cas échéant, elle doit également comporter les éléments suivants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La mention que le fonds investira principalement dans des actifs autres que les actions, les titres de créance et les instruments du marché monétaire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actions : les principales caractéristiques des investissements envisagés (dans la mesure où elles ne sont pas redondantes avec les éléments décrits plus haut), notamment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géographique et/ou sectorielle des émetteurs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Petites/moyennes/grandes capitalisations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Autres critères de sélection (à préciser) ;</w:t>
      </w:r>
    </w:p>
    <w:p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titres de créance et instruments du marché monétaire : les principales caractéristiques des investissements envisagés (dans la mesure où elles ne sont pas redondantes avec les éléments décrits plus haut), notamment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dette privée/publique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Niveau de risque crédit envisagé ;</w:t>
      </w:r>
    </w:p>
    <w:p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Nature juridique des instruments utilisés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t>Duration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lang w:val="en-US"/>
        </w:rPr>
        <w:tab/>
      </w:r>
      <w:r w:rsidRPr="00EC5689">
        <w:rPr>
          <w:rFonts w:asciiTheme="minorHAnsi" w:hAnsiTheme="minorHAnsi" w:cstheme="minorHAnsi"/>
          <w:b w:val="0"/>
          <w:szCs w:val="20"/>
        </w:rPr>
        <w:t>Autres caractéristiques (à préciser) ;</w:t>
      </w:r>
    </w:p>
    <w:p w:rsidR="00EC5689" w:rsidRPr="00EC5689" w:rsidRDefault="00EC5689" w:rsidP="00EC5689">
      <w:pPr>
        <w:pStyle w:val="AMFDate"/>
        <w:numPr>
          <w:ilvl w:val="0"/>
          <w:numId w:val="17"/>
        </w:numPr>
        <w:jc w:val="both"/>
        <w:rPr>
          <w:rFonts w:asciiTheme="minorHAnsi" w:hAnsiTheme="minorHAnsi" w:cstheme="minorHAnsi"/>
          <w:b w:val="0"/>
          <w:szCs w:val="20"/>
        </w:rPr>
      </w:pPr>
      <w:r w:rsidRPr="00EC5689">
        <w:rPr>
          <w:rFonts w:asciiTheme="minorHAnsi" w:hAnsiTheme="minorHAnsi" w:cstheme="minorHAnsi"/>
          <w:b w:val="0"/>
          <w:szCs w:val="20"/>
        </w:rPr>
        <w:t>La détention d’actions ou parts d’autres placements collectifs de droit français ou d’autres OPCVM, FIA ou fonds d’investissement de droit étranger, en précisant s’il s’agit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’OPCVM, de droit français ou étranger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e FIA de droit français, en précisant les types de fonds concernés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 xml:space="preserve"> </w:t>
      </w:r>
      <w:r>
        <w:rPr>
          <w:rFonts w:asciiTheme="minorHAnsi" w:hAnsiTheme="minorHAnsi" w:cstheme="minorHAnsi"/>
          <w:b w:val="0"/>
          <w:szCs w:val="20"/>
        </w:rPr>
        <w:tab/>
        <w:t>D</w:t>
      </w:r>
      <w:r w:rsidRPr="00EC5689">
        <w:rPr>
          <w:rFonts w:asciiTheme="minorHAnsi" w:hAnsiTheme="minorHAnsi" w:cstheme="minorHAnsi"/>
          <w:b w:val="0"/>
          <w:szCs w:val="20"/>
        </w:rPr>
        <w:t>e FIA de gestion alternative, en précisant s’ils sont cotés ou non ;</w:t>
      </w:r>
    </w:p>
    <w:p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ab/>
        <w:t>D</w:t>
      </w:r>
      <w:r w:rsidRPr="00EC5689">
        <w:rPr>
          <w:rFonts w:asciiTheme="minorHAnsi" w:hAnsiTheme="minorHAnsi" w:cstheme="minorHAnsi"/>
          <w:b w:val="0"/>
          <w:szCs w:val="20"/>
        </w:rPr>
        <w:t>’autres fonds d’investissement (à préciser).</w:t>
      </w:r>
    </w:p>
    <w:p w:rsidR="008C3995" w:rsidRPr="00C07571" w:rsidRDefault="004375E3" w:rsidP="00C07571">
      <w:pPr>
        <w:pStyle w:val="AMFDate"/>
        <w:ind w:left="0"/>
        <w:jc w:val="both"/>
        <w:rPr>
          <w:rFonts w:asciiTheme="minorHAnsi" w:hAnsiTheme="minorHAnsi" w:cstheme="minorHAnsi"/>
          <w:b w:val="0"/>
          <w:szCs w:val="20"/>
        </w:rPr>
      </w:pPr>
      <w:r w:rsidRPr="004375E3">
        <w:rPr>
          <w:rFonts w:asciiTheme="minorHAnsi" w:hAnsiTheme="minorHAnsi" w:cstheme="minorHAnsi"/>
          <w:b w:val="0"/>
          <w:szCs w:val="20"/>
        </w:rPr>
        <w:t>Si le FIA est un fonds de fonds (investissement dans les organismes de placements collectifs supérieur à 10%), indiquer le lieu d’établissement des fonds sous-jacents.</w:t>
      </w:r>
    </w:p>
    <w:p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Dans le cas où le FIA achète des  parts ou actions de placements collectifs de droit français ou d’autres OPCVM, FIA ou fonds d’investissement de droit étranger gérés par le prestataire ou une société liée, ce fait doit faire l’objet, conformément à l’article 321-52</w:t>
      </w:r>
      <w:r w:rsidRPr="00B66AAD">
        <w:rPr>
          <w:rFonts w:asciiTheme="minorHAnsi" w:hAnsiTheme="minorHAnsi" w:cstheme="minorHAnsi"/>
          <w:b w:val="0"/>
          <w:szCs w:val="20"/>
          <w:vertAlign w:val="superscript"/>
        </w:rPr>
        <w:footnoteReference w:id="6"/>
      </w:r>
      <w:r w:rsidRPr="00B66AAD">
        <w:rPr>
          <w:rFonts w:asciiTheme="minorHAnsi" w:hAnsiTheme="minorHAnsi" w:cstheme="minorHAnsi"/>
          <w:b w:val="0"/>
          <w:szCs w:val="20"/>
        </w:rPr>
        <w:t xml:space="preserve"> ou 318-14</w:t>
      </w:r>
      <w:r w:rsidRPr="00B66AAD">
        <w:rPr>
          <w:rFonts w:asciiTheme="minorHAnsi" w:hAnsiTheme="minorHAnsi" w:cstheme="minorHAnsi"/>
          <w:b w:val="0"/>
          <w:szCs w:val="20"/>
          <w:vertAlign w:val="superscript"/>
        </w:rPr>
        <w:footnoteReference w:id="7"/>
      </w:r>
      <w:r w:rsidRPr="00B66AAD">
        <w:rPr>
          <w:rFonts w:asciiTheme="minorHAnsi" w:hAnsiTheme="minorHAnsi" w:cstheme="minorHAnsi"/>
          <w:b w:val="0"/>
          <w:szCs w:val="20"/>
        </w:rPr>
        <w:t xml:space="preserve"> du règlement général de l’AMF, d’une mention dans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du FIA.</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Pour chacune des catégories mentionnées ci-dessus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Les fourchettes de détention qui seront respectées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lastRenderedPageBreak/>
        <w:tab/>
        <w:t>L’existence d’investissements dans des instruments financiers de pays émergents (hors OCDE)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 xml:space="preserve">L’existence d’éventuelles restrictions en matière d’investissement qui s’imposent à la société de gestion, notamment celles prévues au I de l’article </w:t>
      </w:r>
      <w:r>
        <w:rPr>
          <w:rFonts w:asciiTheme="minorHAnsi" w:hAnsiTheme="minorHAnsi" w:cstheme="minorHAnsi"/>
          <w:b w:val="0"/>
          <w:szCs w:val="20"/>
        </w:rPr>
        <w:t xml:space="preserve">31-3 de la présente instruction </w:t>
      </w:r>
      <w:r w:rsidRPr="00B66AAD">
        <w:rPr>
          <w:rFonts w:asciiTheme="minorHAnsi" w:hAnsiTheme="minorHAnsi" w:cstheme="minorHAnsi"/>
          <w:b w:val="0"/>
          <w:szCs w:val="20"/>
        </w:rPr>
        <w:t>;</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d’autres critères (à préciser).</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créances</w:t>
      </w:r>
    </w:p>
    <w:p w:rsidR="004375E3" w:rsidRDefault="004375E3" w:rsidP="00C07571">
      <w:pPr>
        <w:pStyle w:val="AMFDate"/>
        <w:ind w:left="0"/>
        <w:jc w:val="both"/>
        <w:rPr>
          <w:rFonts w:asciiTheme="minorHAnsi" w:hAnsiTheme="minorHAnsi" w:cstheme="minorHAnsi"/>
          <w:b w:val="0"/>
          <w:szCs w:val="20"/>
        </w:rPr>
      </w:pPr>
    </w:p>
    <w:p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Pour les instruments dérivés,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 xml:space="preserve">doit mentionner : </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marchés d’intervention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Réglementés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Organisés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De gré à gré.</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risques sur lesquels le gérant désire intervenir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Action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Taux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Crédit.</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interventions, l’ensemble des opérations devant être limitées à la réalisation de l’objectif de gestion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Couverture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Exposition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Arbitrage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instruments utilisés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Futures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Options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Swaps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à terme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Dérivés de crédit ;</w:t>
      </w:r>
    </w:p>
    <w:p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rsidR="00770CD6" w:rsidRPr="00770CD6" w:rsidRDefault="00770CD6" w:rsidP="00770CD6">
      <w:pPr>
        <w:pStyle w:val="AMFDate"/>
        <w:numPr>
          <w:ilvl w:val="0"/>
          <w:numId w:val="17"/>
        </w:numPr>
        <w:jc w:val="both"/>
        <w:rPr>
          <w:rFonts w:asciiTheme="minorHAnsi" w:hAnsiTheme="minorHAnsi" w:cstheme="minorHAnsi"/>
          <w:b w:val="0"/>
          <w:szCs w:val="20"/>
        </w:rPr>
      </w:pPr>
      <w:r w:rsidRPr="00770CD6">
        <w:rPr>
          <w:rFonts w:asciiTheme="minorHAnsi" w:hAnsiTheme="minorHAnsi" w:cstheme="minorHAnsi"/>
          <w:b w:val="0"/>
          <w:szCs w:val="20"/>
        </w:rPr>
        <w:t>La stratégie d’utilisation des dérivés pour atteindre l’objectif de gestion :</w:t>
      </w:r>
    </w:p>
    <w:p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Couverture générale du portefeuille, de certains risques, titres, etc. ;</w:t>
      </w:r>
    </w:p>
    <w:p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Reconstitution d’une exposition synthétique à des actifs, à des risques ;</w:t>
      </w:r>
    </w:p>
    <w:p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Augmentation de l’exposition au marché et précision de l’effet de levie</w:t>
      </w:r>
      <w:r>
        <w:rPr>
          <w:rFonts w:asciiTheme="minorHAnsi" w:hAnsiTheme="minorHAnsi" w:cstheme="minorHAnsi"/>
          <w:b w:val="0"/>
          <w:szCs w:val="20"/>
        </w:rPr>
        <w:t>r maximum autorisé et recherché</w:t>
      </w:r>
      <w:r w:rsidRPr="00770CD6">
        <w:rPr>
          <w:rFonts w:asciiTheme="minorHAnsi" w:hAnsiTheme="minorHAnsi" w:cstheme="minorHAnsi"/>
          <w:b w:val="0"/>
          <w:szCs w:val="20"/>
        </w:rPr>
        <w:t>;</w:t>
      </w:r>
    </w:p>
    <w:p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Autre stratégie (à préciser).</w:t>
      </w:r>
    </w:p>
    <w:p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En ce qui concerne les contrats d’échange sur rendement global (« total return swap »), le prospectus inclut une description générale des contrats d’échange sur rendement global utilisés par le FIA, la justification de leur utilisation, ainsi que les types d’actifs pouvant faire l’objet de tels contrats.</w:t>
      </w:r>
    </w:p>
    <w:p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critères déterminant le choix des contreparties (y compris la forme juridique, le pays d’origine et la notation minimale de crédit) doivent également être décrits.</w:t>
      </w:r>
    </w:p>
    <w:p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FIA ne doivent pas retenir de rédaction imprécise, telle que « utilisation des instruments à terme dans la limite de la réglementation », ne permettant pas une bonne appréciation des instruments et stratégies utilisés.</w:t>
      </w:r>
    </w:p>
    <w:p w:rsidR="004375E3" w:rsidRDefault="004375E3" w:rsidP="00C07571">
      <w:pPr>
        <w:pStyle w:val="AMFDate"/>
        <w:ind w:left="0"/>
        <w:jc w:val="both"/>
        <w:rPr>
          <w:rFonts w:asciiTheme="minorHAnsi" w:hAnsiTheme="minorHAnsi" w:cstheme="minorHAnsi"/>
          <w:b w:val="0"/>
          <w:szCs w:val="20"/>
        </w:rPr>
      </w:pPr>
    </w:p>
    <w:p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 xml:space="preserve">Pour les titres intégrant des dérivés (warrants, </w:t>
      </w:r>
      <w:proofErr w:type="spellStart"/>
      <w:r w:rsidRPr="00F73C52">
        <w:rPr>
          <w:rFonts w:asciiTheme="minorHAnsi" w:hAnsiTheme="minorHAnsi" w:cstheme="minorHAnsi"/>
          <w:b w:val="0"/>
          <w:szCs w:val="20"/>
        </w:rPr>
        <w:t>credit</w:t>
      </w:r>
      <w:proofErr w:type="spellEnd"/>
      <w:r w:rsidRPr="00F73C52">
        <w:rPr>
          <w:rFonts w:asciiTheme="minorHAnsi" w:hAnsiTheme="minorHAnsi" w:cstheme="minorHAnsi"/>
          <w:b w:val="0"/>
          <w:szCs w:val="20"/>
        </w:rPr>
        <w:t xml:space="preserve"> </w:t>
      </w:r>
      <w:proofErr w:type="spellStart"/>
      <w:r w:rsidRPr="00F73C52">
        <w:rPr>
          <w:rFonts w:asciiTheme="minorHAnsi" w:hAnsiTheme="minorHAnsi" w:cstheme="minorHAnsi"/>
          <w:b w:val="0"/>
          <w:szCs w:val="20"/>
        </w:rPr>
        <w:t>link</w:t>
      </w:r>
      <w:proofErr w:type="spellEnd"/>
      <w:r w:rsidRPr="00F73C52">
        <w:rPr>
          <w:rFonts w:asciiTheme="minorHAnsi" w:hAnsiTheme="minorHAnsi" w:cstheme="minorHAnsi"/>
          <w:b w:val="0"/>
          <w:szCs w:val="20"/>
        </w:rPr>
        <w:t xml:space="preserve"> note, EMTN, bon de souscription, etc.) tels que définis dans l’annexe 1 de la position-recommandation DOC-2012-19, le prospectus doit mentionner : </w:t>
      </w:r>
    </w:p>
    <w:p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Les risques sur lesquels le gérant désire intervenir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Action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Taux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Change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Crédit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lastRenderedPageBreak/>
        <w:tab/>
        <w:t>Autre risque (à préciser).</w:t>
      </w:r>
    </w:p>
    <w:p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interventions, l’ensemble des opérations devant être limitées à la réalisation de l’objectif de gestion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Couverture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Exposition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Arbitrage ;</w:t>
      </w:r>
    </w:p>
    <w:p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nature (à préciser).</w:t>
      </w:r>
    </w:p>
    <w:p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instruments utilisés.</w:t>
      </w:r>
    </w:p>
    <w:p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stratégie d’utilisation des dérivés intégrés pour atteindre l’objectif de gestion.</w:t>
      </w:r>
    </w:p>
    <w:p w:rsidR="004375E3" w:rsidRDefault="004375E3" w:rsidP="00C07571">
      <w:pPr>
        <w:pStyle w:val="AMFDate"/>
        <w:ind w:left="0"/>
        <w:jc w:val="both"/>
        <w:rPr>
          <w:rFonts w:asciiTheme="minorHAnsi" w:hAnsiTheme="minorHAnsi" w:cstheme="minorHAnsi"/>
          <w:b w:val="0"/>
          <w:szCs w:val="20"/>
        </w:rPr>
      </w:pPr>
    </w:p>
    <w:p w:rsid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Pour les dépôts, le prospectus</w:t>
      </w:r>
      <w:r w:rsidRPr="0066529E" w:rsidDel="00B74499">
        <w:rPr>
          <w:rFonts w:asciiTheme="minorHAnsi" w:hAnsiTheme="minorHAnsi" w:cstheme="minorHAnsi"/>
          <w:b w:val="0"/>
          <w:szCs w:val="20"/>
        </w:rPr>
        <w:t xml:space="preserve"> </w:t>
      </w:r>
      <w:r w:rsidRPr="0066529E">
        <w:rPr>
          <w:rFonts w:asciiTheme="minorHAnsi" w:hAnsiTheme="minorHAnsi" w:cstheme="minorHAnsi"/>
          <w:b w:val="0"/>
          <w:szCs w:val="20"/>
        </w:rPr>
        <w:t>doit mentionner les caractéristiques, niveau d’utilisation et description de la contribution à la réalisation de l’objectif de gestion.</w:t>
      </w:r>
    </w:p>
    <w:p w:rsidR="0066529E" w:rsidRPr="0066529E" w:rsidRDefault="0066529E" w:rsidP="0066529E">
      <w:pPr>
        <w:pStyle w:val="AMFDate"/>
        <w:ind w:left="0"/>
        <w:jc w:val="both"/>
        <w:rPr>
          <w:rFonts w:asciiTheme="minorHAnsi" w:hAnsiTheme="minorHAnsi" w:cstheme="minorHAnsi"/>
          <w:b w:val="0"/>
          <w:szCs w:val="20"/>
        </w:rPr>
      </w:pPr>
    </w:p>
    <w:p w:rsidR="0066529E" w:rsidRP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 xml:space="preserve">Pour les emprunts d’espèces, le prospectus doit comporter l’indication des techniques et instruments ou des autorisations en matière d’emprunts susceptibles d’être utilisés dans le fonctionnement du FIA. </w:t>
      </w:r>
    </w:p>
    <w:p w:rsidR="004375E3" w:rsidRDefault="004375E3" w:rsidP="00C07571">
      <w:pPr>
        <w:pStyle w:val="AMFDate"/>
        <w:ind w:left="0"/>
        <w:jc w:val="both"/>
        <w:rPr>
          <w:rFonts w:asciiTheme="minorHAnsi" w:hAnsiTheme="minorHAnsi" w:cstheme="minorHAnsi"/>
          <w:b w:val="0"/>
          <w:szCs w:val="20"/>
        </w:rPr>
      </w:pPr>
    </w:p>
    <w:p w:rsidR="006C5250" w:rsidRPr="006C5250" w:rsidRDefault="006C5250" w:rsidP="006C5250">
      <w:pPr>
        <w:pStyle w:val="AMFDate"/>
        <w:ind w:left="0"/>
        <w:jc w:val="both"/>
        <w:rPr>
          <w:rFonts w:asciiTheme="minorHAnsi" w:hAnsiTheme="minorHAnsi" w:cstheme="minorHAnsi"/>
          <w:b w:val="0"/>
          <w:szCs w:val="20"/>
        </w:rPr>
      </w:pPr>
      <w:r w:rsidRPr="006C5250">
        <w:rPr>
          <w:rFonts w:asciiTheme="minorHAnsi" w:hAnsiTheme="minorHAnsi" w:cstheme="minorHAnsi"/>
          <w:b w:val="0"/>
          <w:szCs w:val="20"/>
        </w:rPr>
        <w:t>Pour les opérations d’acquisitions et cessions temporaires de titres, le prospectus inclut une description générale des opérations de financement sur titres utilisées par le FIA et la justification de leur utilisation. En effet, l’utilisation des opérations d’acquisitions et cessions temporaires de titres doit être expliquée de façon précise :</w:t>
      </w:r>
    </w:p>
    <w:p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opérations utilisées :</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Prises et mises en pension par référence au code monétaire et financier ;</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Prêts et emprunts de titres par référence au code monétaire et financier ;</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interventions, l’ensemble des opérations devant être limitées à la réalisation de l’objectif de gestion :</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Gestion de la trésorerie ;</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Optimisation des revenus du FIA;</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Contribution éventuelle à l’effet de levier du FIA;</w:t>
      </w:r>
    </w:p>
    <w:p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Les types d’actifs pouvant faire l’objet de telles opérations ;</w:t>
      </w:r>
    </w:p>
    <w:p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Les effets de levier éventuels.</w:t>
      </w:r>
    </w:p>
    <w:p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La rémunération : mention du fait que des informations complémentaires figurent à la rubrique frais et commissions ;</w:t>
      </w:r>
    </w:p>
    <w:p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Critères déterminant le choix des contreparties (y compris la forme juridique, le pays d’origine et la notation minimale de crédit). </w:t>
      </w:r>
    </w:p>
    <w:p w:rsidR="004375E3" w:rsidRDefault="004375E3" w:rsidP="00C07571">
      <w:pPr>
        <w:pStyle w:val="AMFDate"/>
        <w:ind w:left="0"/>
        <w:jc w:val="both"/>
        <w:rPr>
          <w:rFonts w:asciiTheme="minorHAnsi" w:hAnsiTheme="minorHAnsi" w:cstheme="minorHAnsi"/>
          <w:b w:val="0"/>
          <w:szCs w:val="20"/>
        </w:rPr>
      </w:pPr>
    </w:p>
    <w:p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maximum des différents instruments</w:t>
      </w:r>
      <w:r w:rsidRPr="00A6382D">
        <w:rPr>
          <w:rFonts w:asciiTheme="minorHAnsi" w:eastAsiaTheme="minorEastAsia" w:hAnsiTheme="minorHAnsi" w:cstheme="minorHAnsi"/>
          <w:bCs/>
          <w:sz w:val="20"/>
          <w:szCs w:val="20"/>
          <w:vertAlign w:val="superscript"/>
        </w:rPr>
        <w:footnoteReference w:id="8"/>
      </w:r>
      <w:r w:rsidRPr="00A6382D">
        <w:rPr>
          <w:rFonts w:asciiTheme="minorHAnsi" w:eastAsiaTheme="minorEastAsia" w:hAnsiTheme="minorHAnsi" w:cstheme="minorHAnsi"/>
          <w:bCs/>
          <w:sz w:val="20"/>
          <w:szCs w:val="20"/>
        </w:rPr>
        <w:t>;</w:t>
      </w:r>
    </w:p>
    <w:p w:rsidR="00A6382D" w:rsidRPr="00A6382D" w:rsidRDefault="00A6382D" w:rsidP="00A6382D">
      <w:pPr>
        <w:jc w:val="both"/>
        <w:rPr>
          <w:rFonts w:asciiTheme="minorHAnsi" w:eastAsiaTheme="minorEastAsia" w:hAnsiTheme="minorHAnsi" w:cstheme="minorHAnsi"/>
          <w:bCs/>
          <w:sz w:val="20"/>
          <w:szCs w:val="20"/>
        </w:rPr>
      </w:pPr>
    </w:p>
    <w:p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des différents instruments généralement recherché, correspondant à l’utilisation habituelle envisagée par le gérant</w:t>
      </w:r>
      <w:r w:rsidRPr="00A6382D">
        <w:rPr>
          <w:rFonts w:asciiTheme="minorHAnsi" w:eastAsiaTheme="minorEastAsia" w:hAnsiTheme="minorHAnsi" w:cstheme="minorHAnsi"/>
          <w:bCs/>
          <w:sz w:val="20"/>
          <w:szCs w:val="20"/>
          <w:vertAlign w:val="superscript"/>
        </w:rPr>
        <w:t>6.</w:t>
      </w:r>
    </w:p>
    <w:p w:rsidR="00A6382D" w:rsidRPr="00A6382D" w:rsidRDefault="00A6382D" w:rsidP="00A6382D">
      <w:pPr>
        <w:jc w:val="both"/>
        <w:rPr>
          <w:rFonts w:asciiTheme="minorHAnsi" w:eastAsiaTheme="minorEastAsia" w:hAnsiTheme="minorHAnsi" w:cstheme="minorHAnsi"/>
          <w:bCs/>
          <w:sz w:val="20"/>
          <w:szCs w:val="20"/>
        </w:rPr>
      </w:pPr>
    </w:p>
    <w:p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 xml:space="preserve">Le cas échéant, des éventuelles restrictions à l’utilisation de l’effet de levier, ainsi que des éventuelles modalités de remploi d’un collatéral ou d’actifs. </w:t>
      </w:r>
    </w:p>
    <w:p w:rsidR="00A6382D" w:rsidRPr="00A6382D" w:rsidRDefault="00A6382D" w:rsidP="00A6382D">
      <w:pPr>
        <w:pStyle w:val="AMFDate"/>
        <w:ind w:left="0"/>
        <w:jc w:val="both"/>
        <w:rPr>
          <w:rFonts w:asciiTheme="minorHAnsi" w:hAnsiTheme="minorHAnsi" w:cstheme="minorHAnsi"/>
          <w:b w:val="0"/>
          <w:szCs w:val="20"/>
        </w:rPr>
      </w:pPr>
      <w:r w:rsidRPr="00A6382D">
        <w:rPr>
          <w:rFonts w:asciiTheme="minorHAnsi" w:hAnsiTheme="minorHAnsi" w:cstheme="minorHAnsi"/>
          <w:b w:val="0"/>
          <w:szCs w:val="20"/>
        </w:rPr>
        <w:t>Le niveau de levier maximal que le gestionnaire est habilité à employer pour le compte du FIA</w:t>
      </w:r>
      <w:r w:rsidRPr="00A6382D">
        <w:rPr>
          <w:rFonts w:asciiTheme="minorHAnsi" w:hAnsiTheme="minorHAnsi" w:cstheme="minorHAnsi"/>
          <w:b w:val="0"/>
          <w:szCs w:val="20"/>
          <w:vertAlign w:val="superscript"/>
        </w:rPr>
        <w:footnoteReference w:id="9"/>
      </w:r>
      <w:r w:rsidRPr="00A6382D">
        <w:rPr>
          <w:rFonts w:asciiTheme="minorHAnsi" w:hAnsiTheme="minorHAnsi" w:cstheme="minorHAnsi"/>
          <w:b w:val="0"/>
          <w:szCs w:val="20"/>
        </w:rPr>
        <w:t>.</w:t>
      </w:r>
    </w:p>
    <w:p w:rsidR="004375E3" w:rsidRDefault="004375E3" w:rsidP="00C07571">
      <w:pPr>
        <w:pStyle w:val="AMFDate"/>
        <w:ind w:left="0"/>
        <w:jc w:val="both"/>
        <w:rPr>
          <w:rFonts w:asciiTheme="minorHAnsi" w:hAnsiTheme="minorHAnsi" w:cstheme="minorHAnsi"/>
          <w:b w:val="0"/>
          <w:szCs w:val="20"/>
        </w:rPr>
      </w:pPr>
    </w:p>
    <w:p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lastRenderedPageBreak/>
        <w:t>Les informations figurant dans la rubrique « stratégie d’investissement » du prospectus permettent de satisfaire à l’obligation de communication résultant de l’article 318-47du règlement général de l’AMF.</w:t>
      </w:r>
    </w:p>
    <w:p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Cette communication ne préjuge en rien les autres méthodes et mesures de gestion des risques qui doivent être mise en place par la société de gestion (conformément aux articles 321-77</w:t>
      </w:r>
      <w:r w:rsidRPr="0070728C">
        <w:rPr>
          <w:rFonts w:asciiTheme="minorHAnsi" w:hAnsiTheme="minorHAnsi" w:cstheme="minorHAnsi"/>
          <w:b w:val="0"/>
          <w:szCs w:val="20"/>
          <w:vertAlign w:val="superscript"/>
        </w:rPr>
        <w:footnoteReference w:id="10"/>
      </w:r>
      <w:r w:rsidRPr="0070728C">
        <w:rPr>
          <w:rFonts w:asciiTheme="minorHAnsi" w:hAnsiTheme="minorHAnsi" w:cstheme="minorHAnsi"/>
          <w:b w:val="0"/>
          <w:szCs w:val="20"/>
        </w:rPr>
        <w:t xml:space="preserve"> à 321-81 et 318-38</w:t>
      </w:r>
      <w:r w:rsidRPr="0070728C">
        <w:rPr>
          <w:rFonts w:asciiTheme="minorHAnsi" w:hAnsiTheme="minorHAnsi" w:cstheme="minorHAnsi"/>
          <w:b w:val="0"/>
          <w:szCs w:val="20"/>
          <w:vertAlign w:val="superscript"/>
        </w:rPr>
        <w:footnoteReference w:id="11"/>
      </w:r>
      <w:r w:rsidRPr="0070728C">
        <w:rPr>
          <w:rFonts w:asciiTheme="minorHAnsi" w:hAnsiTheme="minorHAnsi" w:cstheme="minorHAnsi"/>
          <w:b w:val="0"/>
          <w:szCs w:val="20"/>
        </w:rPr>
        <w:t xml:space="preserve"> du règlement général de l’AMF). </w:t>
      </w:r>
    </w:p>
    <w:p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La mise à disposition d'une version à jour du prospectus sur la base GECO permet de répondre à l’obligation de transmission annuelle à l’AMF de ces informations mentionnée à l’article 321-82</w:t>
      </w:r>
      <w:r w:rsidRPr="0070728C">
        <w:rPr>
          <w:rFonts w:asciiTheme="minorHAnsi" w:hAnsiTheme="minorHAnsi" w:cstheme="minorHAnsi"/>
          <w:b w:val="0"/>
          <w:szCs w:val="20"/>
          <w:vertAlign w:val="superscript"/>
        </w:rPr>
        <w:footnoteReference w:id="12"/>
      </w:r>
      <w:r w:rsidRPr="0070728C">
        <w:rPr>
          <w:rFonts w:asciiTheme="minorHAnsi" w:hAnsiTheme="minorHAnsi" w:cstheme="minorHAnsi"/>
          <w:b w:val="0"/>
          <w:szCs w:val="20"/>
        </w:rPr>
        <w:t xml:space="preserve"> et 318-47</w:t>
      </w:r>
      <w:r w:rsidRPr="0070728C">
        <w:rPr>
          <w:rFonts w:asciiTheme="minorHAnsi" w:hAnsiTheme="minorHAnsi" w:cstheme="minorHAnsi"/>
          <w:b w:val="0"/>
          <w:szCs w:val="20"/>
          <w:vertAlign w:val="superscript"/>
        </w:rPr>
        <w:footnoteReference w:id="13"/>
      </w:r>
      <w:r w:rsidRPr="0070728C">
        <w:rPr>
          <w:rFonts w:asciiTheme="minorHAnsi" w:hAnsiTheme="minorHAnsi" w:cstheme="minorHAnsi"/>
          <w:b w:val="0"/>
          <w:szCs w:val="20"/>
        </w:rPr>
        <w:t xml:space="preserve"> du règlement général de l’AMF. </w:t>
      </w:r>
    </w:p>
    <w:p w:rsidR="004375E3" w:rsidRDefault="004375E3" w:rsidP="00C07571">
      <w:pPr>
        <w:pStyle w:val="AMFDate"/>
        <w:ind w:left="0"/>
        <w:jc w:val="both"/>
        <w:rPr>
          <w:rFonts w:asciiTheme="minorHAnsi" w:hAnsiTheme="minorHAnsi" w:cstheme="minorHAnsi"/>
          <w:b w:val="0"/>
          <w:szCs w:val="20"/>
        </w:rPr>
      </w:pPr>
    </w:p>
    <w:p w:rsidR="0080359F" w:rsidRDefault="0080359F" w:rsidP="0080359F">
      <w:pPr>
        <w:pStyle w:val="AMFDate"/>
        <w:numPr>
          <w:ilvl w:val="2"/>
          <w:numId w:val="6"/>
        </w:numPr>
        <w:jc w:val="both"/>
        <w:rPr>
          <w:rFonts w:asciiTheme="minorHAnsi" w:hAnsiTheme="minorHAnsi" w:cstheme="minorHAnsi"/>
          <w:b w:val="0"/>
          <w:szCs w:val="20"/>
        </w:rPr>
      </w:pPr>
      <w:r w:rsidRPr="0080359F">
        <w:rPr>
          <w:rFonts w:asciiTheme="minorHAnsi" w:hAnsiTheme="minorHAnsi" w:cstheme="minorHAnsi"/>
          <w:b w:val="0"/>
          <w:szCs w:val="20"/>
        </w:rPr>
        <w:t>Contrats constituant des garanties financières</w:t>
      </w:r>
    </w:p>
    <w:p w:rsidR="004375E3" w:rsidRDefault="004375E3" w:rsidP="00C07571">
      <w:pPr>
        <w:pStyle w:val="AMFDate"/>
        <w:ind w:left="0"/>
        <w:jc w:val="both"/>
        <w:rPr>
          <w:rFonts w:asciiTheme="minorHAnsi" w:hAnsiTheme="minorHAnsi" w:cstheme="minorHAnsi"/>
          <w:b w:val="0"/>
          <w:szCs w:val="20"/>
        </w:rPr>
      </w:pPr>
    </w:p>
    <w:p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La possibilité pour le FIA d’octroyer des garanties à des tiers doit être mentionnée de manière expresse. Cette rubrique détaille :</w:t>
      </w:r>
    </w:p>
    <w:p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garanties octroyées par le FIA ;</w:t>
      </w:r>
    </w:p>
    <w:p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engagements du FIA pouvant nécessiter ce type de garanties ;</w:t>
      </w:r>
    </w:p>
    <w:p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qualité des bénéficiaires de ces garanties.</w:t>
      </w:r>
    </w:p>
    <w:p w:rsidR="00EC2E3F" w:rsidRDefault="00EC2E3F" w:rsidP="00284807">
      <w:pPr>
        <w:pStyle w:val="AMFDate"/>
        <w:ind w:left="0"/>
        <w:jc w:val="both"/>
        <w:rPr>
          <w:rFonts w:asciiTheme="minorHAnsi" w:hAnsiTheme="minorHAnsi" w:cstheme="minorHAnsi"/>
          <w:b w:val="0"/>
          <w:szCs w:val="20"/>
        </w:rPr>
      </w:pPr>
    </w:p>
    <w:p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Le prospectus décrit les garanties acceptables en ce qui concerne les types d’actifs, l’émetteur, l’échéance, la liquidité ainsi que la diversification des garanties et les politiques en matière de corrélation.</w:t>
      </w:r>
    </w:p>
    <w:p w:rsidR="004375E3" w:rsidRDefault="004375E3" w:rsidP="00C07571">
      <w:pPr>
        <w:pStyle w:val="AMFDate"/>
        <w:ind w:left="0"/>
        <w:jc w:val="both"/>
        <w:rPr>
          <w:rFonts w:asciiTheme="minorHAnsi" w:hAnsiTheme="minorHAnsi" w:cstheme="minorHAnsi"/>
          <w:b w:val="0"/>
          <w:szCs w:val="20"/>
        </w:rPr>
      </w:pPr>
    </w:p>
    <w:p w:rsidR="004375E3" w:rsidRDefault="00EC2E3F" w:rsidP="00C07571">
      <w:pPr>
        <w:pStyle w:val="AMFDate"/>
        <w:ind w:left="0"/>
        <w:jc w:val="both"/>
        <w:rPr>
          <w:rFonts w:asciiTheme="minorHAnsi" w:hAnsiTheme="minorHAnsi" w:cstheme="minorHAnsi"/>
          <w:b w:val="0"/>
          <w:szCs w:val="20"/>
        </w:rPr>
      </w:pPr>
      <w:r w:rsidRPr="00EC2E3F">
        <w:rPr>
          <w:rFonts w:asciiTheme="minorHAnsi" w:hAnsiTheme="minorHAnsi" w:cstheme="minorHAnsi"/>
          <w:b w:val="0"/>
          <w:szCs w:val="20"/>
        </w:rPr>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4375E3" w:rsidRDefault="004375E3" w:rsidP="00C07571">
      <w:pPr>
        <w:pStyle w:val="AMFDate"/>
        <w:ind w:left="0"/>
        <w:jc w:val="both"/>
        <w:rPr>
          <w:rFonts w:asciiTheme="minorHAnsi" w:hAnsiTheme="minorHAnsi" w:cstheme="minorHAnsi"/>
          <w:b w:val="0"/>
          <w:szCs w:val="20"/>
        </w:rPr>
      </w:pPr>
    </w:p>
    <w:p w:rsidR="004375E3" w:rsidRDefault="003F6F28" w:rsidP="003F6F28">
      <w:pPr>
        <w:pStyle w:val="AMFDate"/>
        <w:numPr>
          <w:ilvl w:val="2"/>
          <w:numId w:val="6"/>
        </w:numPr>
        <w:jc w:val="both"/>
        <w:rPr>
          <w:rFonts w:asciiTheme="minorHAnsi" w:hAnsiTheme="minorHAnsi" w:cstheme="minorHAnsi"/>
          <w:b w:val="0"/>
          <w:szCs w:val="20"/>
        </w:rPr>
      </w:pPr>
      <w:r w:rsidRPr="003F6F28">
        <w:rPr>
          <w:rFonts w:asciiTheme="minorHAnsi" w:hAnsiTheme="minorHAnsi" w:cstheme="minorHAnsi"/>
          <w:b w:val="0"/>
          <w:szCs w:val="20"/>
        </w:rPr>
        <w:t>Cas particulier des nourriciers</w:t>
      </w:r>
    </w:p>
    <w:p w:rsidR="004375E3" w:rsidRDefault="004375E3" w:rsidP="00C07571">
      <w:pPr>
        <w:pStyle w:val="AMFDate"/>
        <w:ind w:left="0"/>
        <w:jc w:val="both"/>
        <w:rPr>
          <w:rFonts w:asciiTheme="minorHAnsi" w:hAnsiTheme="minorHAnsi" w:cstheme="minorHAnsi"/>
          <w:b w:val="0"/>
          <w:szCs w:val="20"/>
        </w:rPr>
      </w:pPr>
    </w:p>
    <w:p w:rsidR="003F6F28" w:rsidRPr="003F6F28" w:rsidRDefault="003F6F28" w:rsidP="003F6F28">
      <w:pPr>
        <w:pStyle w:val="AMFDate"/>
        <w:ind w:left="0"/>
        <w:jc w:val="both"/>
        <w:rPr>
          <w:rFonts w:asciiTheme="minorHAnsi" w:hAnsiTheme="minorHAnsi" w:cstheme="minorHAnsi"/>
          <w:b w:val="0"/>
          <w:szCs w:val="20"/>
        </w:rPr>
      </w:pPr>
      <w:r w:rsidRPr="003F6F28">
        <w:rPr>
          <w:rFonts w:asciiTheme="minorHAnsi" w:hAnsiTheme="minorHAnsi" w:cstheme="minorHAnsi"/>
          <w:b w:val="0"/>
          <w:szCs w:val="20"/>
        </w:rPr>
        <w:t>Pour les nourriciers n’intervenant pas sur les marchés à terme, la rubrique « stratégie d’investissement » doit préciser que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Celui-ci est le nourricier d'un OPCVM ou d’un FIA maître donné et que l'actif de celui-ci est investi en totalité et en permanence en parts ou actions d'un seul OPCVM ou FIA dit maître et à titre accessoire en dépôts détenus dans la stricte limite des besoins liés à la gestion des flux du FIA. Le cas échéant, le prospectus</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précise</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également que le FIA nourricier peut conclure les contrats financiers mentionnés à l'article L. 214-24-55 du code monétaire et financier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L'objectif et la politique de placement, ainsi que le profil de risque du FIA nourricier et des informations quant au point de savoir si les performances du FIA nourricier et de l'OPCVM ou du FIA maître sont identiques, ou dans quelle mesure et pour quelles raisons elles diffèrent. Le prospectus contient également une description des actifs autres que les parts ou actions de l'OPCVM ou du FIA maître, dans lesquels l'actif du FIA nourricier peut être investi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brève de l'OPCVM ou du FIA maître, de son organisation ainsi que de son objectif et de sa politique de placement, y compris son profil de risque et une indication de la manière dont il est possible de se procurer le prospectus de l'OPCVM ou du FIA maître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 résumé de l'accord entre le FIA nourricier et l'OPCVM ou le FIA maître ou des règles de conduite internes établies conformément à l'article L. 214-24-58 du code monétaire et financier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lastRenderedPageBreak/>
        <w:t>La manière dont les porteurs peuvent obtenir des informations supplémentaires sur l'OPCVM ou le FIA maître et sur l'accord précité conclu entre le FIA nourricier et l'OPCVM ou le FIA maître ;</w:t>
      </w:r>
    </w:p>
    <w:p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des rémunérations et des remboursements de coûts dus par le FIA nourricier au titre de son investissement dans des parts ou actions de l'OPCVM ou du FIA maître, ainsi qu'une description des frais totaux du FIA nourricier et de l'OPCVM ou du FIA maître ;</w:t>
      </w:r>
    </w:p>
    <w:p w:rsidR="004375E3" w:rsidRPr="0034692F" w:rsidRDefault="003F6F28" w:rsidP="00C04973">
      <w:pPr>
        <w:pStyle w:val="Paragraphedeliste"/>
        <w:numPr>
          <w:ilvl w:val="0"/>
          <w:numId w:val="22"/>
        </w:numPr>
        <w:jc w:val="both"/>
        <w:rPr>
          <w:rFonts w:asciiTheme="minorHAnsi" w:hAnsiTheme="minorHAnsi" w:cstheme="minorHAnsi"/>
          <w:sz w:val="20"/>
          <w:szCs w:val="20"/>
        </w:rPr>
      </w:pPr>
      <w:r w:rsidRPr="0034692F">
        <w:rPr>
          <w:rFonts w:asciiTheme="minorHAnsi" w:eastAsia="MS Mincho" w:hAnsiTheme="minorHAnsi" w:cstheme="minorHAnsi"/>
          <w:sz w:val="20"/>
          <w:szCs w:val="20"/>
        </w:rPr>
        <w:t>Une description des conséquences fiscales de l'investissement dans les parts ou actions de l'OPCVM ou du FIA maître pour le FIA nourricier.</w:t>
      </w:r>
    </w:p>
    <w:p w:rsidR="004375E3" w:rsidRDefault="004375E3" w:rsidP="00C07571">
      <w:pPr>
        <w:pStyle w:val="AMFDate"/>
        <w:ind w:left="0"/>
        <w:jc w:val="both"/>
        <w:rPr>
          <w:rFonts w:asciiTheme="minorHAnsi" w:hAnsiTheme="minorHAnsi" w:cstheme="minorHAnsi"/>
          <w:b w:val="0"/>
          <w:szCs w:val="20"/>
        </w:rPr>
      </w:pPr>
    </w:p>
    <w:p w:rsidR="004375E3" w:rsidRDefault="00C04973" w:rsidP="00C04973">
      <w:pPr>
        <w:pStyle w:val="AMFDate"/>
        <w:numPr>
          <w:ilvl w:val="2"/>
          <w:numId w:val="6"/>
        </w:numPr>
        <w:jc w:val="both"/>
        <w:rPr>
          <w:rFonts w:asciiTheme="minorHAnsi" w:hAnsiTheme="minorHAnsi" w:cstheme="minorHAnsi"/>
          <w:b w:val="0"/>
          <w:szCs w:val="20"/>
        </w:rPr>
      </w:pPr>
      <w:r w:rsidRPr="00C04973">
        <w:rPr>
          <w:rFonts w:asciiTheme="minorHAnsi" w:hAnsiTheme="minorHAnsi" w:cstheme="minorHAnsi"/>
          <w:b w:val="0"/>
          <w:szCs w:val="20"/>
        </w:rPr>
        <w:t>Pour les nourriciers intervenant sur les marchés à terme</w:t>
      </w:r>
    </w:p>
    <w:p w:rsidR="004375E3" w:rsidRDefault="004375E3" w:rsidP="00C07571">
      <w:pPr>
        <w:pStyle w:val="AMFDate"/>
        <w:ind w:left="0"/>
        <w:jc w:val="both"/>
        <w:rPr>
          <w:rFonts w:asciiTheme="minorHAnsi" w:hAnsiTheme="minorHAnsi" w:cstheme="minorHAnsi"/>
          <w:b w:val="0"/>
          <w:szCs w:val="20"/>
        </w:rPr>
      </w:pPr>
    </w:p>
    <w:p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w:t>
      </w:r>
      <w:r w:rsidRPr="00C04973">
        <w:rPr>
          <w:rFonts w:asciiTheme="minorHAnsi" w:eastAsia="MS Mincho" w:hAnsiTheme="minorHAnsi" w:cstheme="minorHAnsi"/>
          <w:sz w:val="20"/>
          <w:szCs w:val="20"/>
        </w:rPr>
        <w:t>cette</w:t>
      </w:r>
      <w:r w:rsidRPr="00C04973">
        <w:rPr>
          <w:rFonts w:asciiTheme="minorHAnsi" w:eastAsiaTheme="minorEastAsia" w:hAnsiTheme="minorHAnsi" w:cstheme="minorHAnsi"/>
          <w:bCs/>
          <w:sz w:val="20"/>
          <w:szCs w:val="20"/>
        </w:rPr>
        <w:t xml:space="preserve"> intervention sur les marchés à terme n’introduit pas de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le % d’investissement du FIA nourricier dans un OPCVM ou un autre FIA (en précisant le nom de cet OPCVM ou FIA) et s’il intervient sur les marchés à terme ;</w:t>
      </w:r>
    </w:p>
    <w:p w:rsid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Reprendre la rubrique « objectifs et politique d’investissement » du document d’information clé pour l’investisseur (DICI) de l’OPCVM ou du FIA maître et préciser la nature et l’impact de l’intervention sur les marchés à terme par le FIA nour</w:t>
      </w:r>
      <w:r>
        <w:rPr>
          <w:rFonts w:asciiTheme="minorHAnsi" w:hAnsiTheme="minorHAnsi" w:cstheme="minorHAnsi"/>
          <w:b w:val="0"/>
          <w:szCs w:val="20"/>
        </w:rPr>
        <w:t>ricier.</w:t>
      </w:r>
    </w:p>
    <w:p w:rsidR="00C04973" w:rsidRPr="00C04973" w:rsidRDefault="00C04973" w:rsidP="00C04973">
      <w:pPr>
        <w:pStyle w:val="AMFDate"/>
        <w:ind w:left="0"/>
        <w:jc w:val="both"/>
        <w:rPr>
          <w:rFonts w:asciiTheme="minorHAnsi" w:hAnsiTheme="minorHAnsi" w:cstheme="minorHAnsi"/>
          <w:b w:val="0"/>
          <w:szCs w:val="20"/>
        </w:rPr>
      </w:pPr>
    </w:p>
    <w:p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cette intervention sur les marchés à terme introduit une </w:t>
      </w:r>
      <w:proofErr w:type="spellStart"/>
      <w:r w:rsidRPr="00C04973">
        <w:rPr>
          <w:rFonts w:asciiTheme="minorHAnsi" w:eastAsiaTheme="minorEastAsia" w:hAnsiTheme="minorHAnsi" w:cstheme="minorHAnsi"/>
          <w:bCs/>
          <w:sz w:val="20"/>
          <w:szCs w:val="20"/>
        </w:rPr>
        <w:t>décorrélation</w:t>
      </w:r>
      <w:proofErr w:type="spellEnd"/>
      <w:r w:rsidRPr="00C04973">
        <w:rPr>
          <w:rFonts w:asciiTheme="minorHAnsi" w:eastAsiaTheme="minorEastAsia" w:hAnsiTheme="minorHAnsi" w:cstheme="minorHAnsi"/>
          <w:bCs/>
          <w:sz w:val="20"/>
          <w:szCs w:val="20"/>
        </w:rPr>
        <w:t xml:space="preserve"> substantielle entre le FIA nourricier et l’OPCVM ou le FIA maître, la rubrique « stratégie d’investissement » doit :</w:t>
      </w:r>
    </w:p>
    <w:p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que le FIA est investi en totalité dans un OPCVM ou un autre FIA et à titre accessoire en liquidités mais que l’utilisation des marchés à terme modifie de manière importante l’exposition du FIA par rapport à un simple investissement en direct dans cet OPCVM ou autre FIA ;</w:t>
      </w:r>
    </w:p>
    <w:p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la nature et l’impact de l’utilisation des marchés à terme sur l’exposition du FIA nourricier en décrivant le montage financier retenu.</w:t>
      </w:r>
    </w:p>
    <w:p w:rsidR="00BF3676" w:rsidRDefault="00BF3676" w:rsidP="00C04973">
      <w:pPr>
        <w:pStyle w:val="AMFDate"/>
        <w:ind w:left="0"/>
        <w:jc w:val="both"/>
        <w:rPr>
          <w:rFonts w:asciiTheme="minorHAnsi" w:hAnsiTheme="minorHAnsi" w:cstheme="minorHAnsi"/>
          <w:b w:val="0"/>
          <w:szCs w:val="20"/>
        </w:rPr>
      </w:pPr>
    </w:p>
    <w:p w:rsidR="00C04973" w:rsidRPr="00C04973" w:rsidRDefault="00C04973" w:rsidP="00C04973">
      <w:pPr>
        <w:pStyle w:val="AMFDate"/>
        <w:ind w:left="0"/>
        <w:jc w:val="both"/>
        <w:rPr>
          <w:rFonts w:asciiTheme="minorHAnsi" w:hAnsiTheme="minorHAnsi" w:cstheme="minorHAnsi"/>
          <w:b w:val="0"/>
          <w:szCs w:val="20"/>
        </w:rPr>
      </w:pPr>
      <w:r w:rsidRPr="00C04973">
        <w:rPr>
          <w:rFonts w:asciiTheme="minorHAnsi" w:hAnsiTheme="minorHAnsi" w:cstheme="minorHAnsi"/>
          <w:b w:val="0"/>
          <w:szCs w:val="20"/>
        </w:rPr>
        <w:t>Afin de limiter le risque de confusion, toutes les mentions provenant du prospectus de l’OPCVM ou du FIA maître doivent être clairement identifiables (police différente, couleur différente, etc.).</w:t>
      </w:r>
    </w:p>
    <w:p w:rsidR="004375E3" w:rsidRDefault="004375E3" w:rsidP="00C07571">
      <w:pPr>
        <w:pStyle w:val="AMFDate"/>
        <w:ind w:left="0"/>
        <w:jc w:val="both"/>
        <w:rPr>
          <w:rFonts w:asciiTheme="minorHAnsi" w:hAnsiTheme="minorHAnsi" w:cstheme="minorHAnsi"/>
          <w:b w:val="0"/>
          <w:szCs w:val="20"/>
        </w:rPr>
      </w:pPr>
    </w:p>
    <w:p w:rsidR="004375E3" w:rsidRDefault="004D2BFC" w:rsidP="004D2BFC">
      <w:pPr>
        <w:pStyle w:val="AMFDate"/>
        <w:numPr>
          <w:ilvl w:val="2"/>
          <w:numId w:val="6"/>
        </w:numPr>
        <w:jc w:val="both"/>
        <w:rPr>
          <w:rFonts w:asciiTheme="minorHAnsi" w:hAnsiTheme="minorHAnsi" w:cstheme="minorHAnsi"/>
          <w:b w:val="0"/>
          <w:szCs w:val="20"/>
        </w:rPr>
      </w:pPr>
      <w:r w:rsidRPr="004D2BFC">
        <w:rPr>
          <w:rFonts w:asciiTheme="minorHAnsi" w:hAnsiTheme="minorHAnsi" w:cstheme="minorHAnsi"/>
          <w:b w:val="0"/>
          <w:szCs w:val="20"/>
        </w:rPr>
        <w:t>Cas particulier des FIA à compartiment</w:t>
      </w:r>
    </w:p>
    <w:p w:rsidR="00D24737" w:rsidRDefault="00D24737" w:rsidP="00C07571">
      <w:pPr>
        <w:pStyle w:val="AMFDate"/>
        <w:ind w:left="0"/>
        <w:jc w:val="both"/>
        <w:rPr>
          <w:rFonts w:asciiTheme="minorHAnsi" w:hAnsiTheme="minorHAnsi" w:cstheme="minorHAnsi"/>
          <w:b w:val="0"/>
          <w:szCs w:val="20"/>
        </w:rPr>
      </w:pPr>
    </w:p>
    <w:p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S’il est envisagé que des compartiments souscrivent des parts ou actions de compartiment(s) du même FIA auxquels ils se rattachent, le prospectus doit le mentionner et préciser le pourcentage maximum de l’actif du compartiment investi dans d’autres compartiments du même FIA ainsi que le pourcentage maximum de l’actif de chaque compartiment qui peut être détenu par un autre compartiment du même FIA.</w:t>
      </w:r>
    </w:p>
    <w:p w:rsidR="00D24737" w:rsidRDefault="00D24737" w:rsidP="00C07571">
      <w:pPr>
        <w:pStyle w:val="AMFDate"/>
        <w:ind w:left="0"/>
        <w:jc w:val="both"/>
        <w:rPr>
          <w:rFonts w:asciiTheme="minorHAnsi" w:hAnsiTheme="minorHAnsi" w:cstheme="minorHAnsi"/>
          <w:b w:val="0"/>
          <w:szCs w:val="20"/>
        </w:rPr>
      </w:pPr>
    </w:p>
    <w:p w:rsidR="00D24737" w:rsidRDefault="00374DC7" w:rsidP="00374DC7">
      <w:pPr>
        <w:pStyle w:val="AMFDate"/>
        <w:numPr>
          <w:ilvl w:val="2"/>
          <w:numId w:val="6"/>
        </w:numPr>
        <w:jc w:val="both"/>
        <w:rPr>
          <w:rFonts w:asciiTheme="minorHAnsi" w:hAnsiTheme="minorHAnsi" w:cstheme="minorHAnsi"/>
          <w:b w:val="0"/>
          <w:szCs w:val="20"/>
        </w:rPr>
      </w:pPr>
      <w:r w:rsidRPr="00374DC7">
        <w:rPr>
          <w:rFonts w:asciiTheme="minorHAnsi" w:hAnsiTheme="minorHAnsi" w:cstheme="minorHAnsi"/>
          <w:b w:val="0"/>
          <w:szCs w:val="20"/>
        </w:rPr>
        <w:t>Profil de risque</w:t>
      </w:r>
    </w:p>
    <w:p w:rsidR="00D24737" w:rsidRDefault="00D24737" w:rsidP="00C07571">
      <w:pPr>
        <w:pStyle w:val="AMFDate"/>
        <w:ind w:left="0"/>
        <w:jc w:val="both"/>
        <w:rPr>
          <w:rFonts w:asciiTheme="minorHAnsi" w:hAnsiTheme="minorHAnsi" w:cstheme="minorHAnsi"/>
          <w:b w:val="0"/>
          <w:szCs w:val="20"/>
        </w:rPr>
      </w:pPr>
    </w:p>
    <w:p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 xml:space="preserve">L’objectif de cette rubrique est de donner une information pertinente sur les risques associés aux techniques employées auxquels s’expose l’investisseur. Le profil de risque du fonds ne se limite pas à la description des instruments dans lesquels le FIA est investi. </w:t>
      </w:r>
    </w:p>
    <w:p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Par exemple :</w:t>
      </w:r>
    </w:p>
    <w:p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des caractéristiques spécifiques du FIA, notamment liées aux classifications (degré minimum d’exposition au marché actions, sensibilité, risque de change, etc.) ;</w:t>
      </w:r>
    </w:p>
    <w:p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Effets possibles de l'utilisation des contrats financiers sur le profil de risque ;</w:t>
      </w:r>
    </w:p>
    <w:p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spécifique lorsque la valeur liquidative est susceptible de connaître une volatilité élevée du fait de la composition de son portefeuille ou des techniques de gestion du portefeuille pouvant être employées, ou lorsqu’un fonds monétaire est sensible au risque crédit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la performance du FIA ne soit pas conforme à ses objectifs, aux objectifs de l’investisseur (en précisant que ce dernier risque dépend de la composition du portefeuille de l’investisseur)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le capital investi ne soit pas intégralement restitué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Impact de l’inflation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Restriction de liquidité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lastRenderedPageBreak/>
        <w:t>Les risques liés à l’utilisation d’un prime broker (par exemple, risque lié à la diminution du niveau de financement accordé par ce dernier, risque lié à la réutilisation des titres)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découlant de l’évolution potentielle de certains éléments (traitement fiscal, par exemple)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 xml:space="preserve">Risques liés au type de réplication utilisé, pour les FIA indiciels </w:t>
      </w:r>
      <w:proofErr w:type="gramStart"/>
      <w:r w:rsidRPr="001B70AB">
        <w:rPr>
          <w:rFonts w:asciiTheme="minorHAnsi" w:eastAsiaTheme="minorEastAsia" w:hAnsiTheme="minorHAnsi" w:cstheme="minorHAnsi"/>
          <w:bCs/>
          <w:sz w:val="20"/>
          <w:szCs w:val="20"/>
        </w:rPr>
        <w:t>ou</w:t>
      </w:r>
      <w:proofErr w:type="gramEnd"/>
      <w:r w:rsidRPr="001B70AB">
        <w:rPr>
          <w:rFonts w:asciiTheme="minorHAnsi" w:eastAsiaTheme="minorEastAsia" w:hAnsiTheme="minorHAnsi" w:cstheme="minorHAnsi"/>
          <w:bCs/>
          <w:sz w:val="20"/>
          <w:szCs w:val="20"/>
        </w:rPr>
        <w:t xml:space="preserve">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ou les fonds de fonds alternatifs, les risques liés à l’existence de règles de dispersion des risques plus souples que sur les fonds d’investissement à vocation générale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mettant en œuvre un effet de levier, les risques liés à l’existence d’un effet de levier supérieur à l’effet de levier autorisé dans les autres FIA.</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la mise en place d'une convention prise en application des III ou IV de l’article L. 214-24-10 du code monétaire et financier (non applicable aux fonds d’investissement à vocation générale ouverts à des investisseurs non professionnels) ;</w:t>
      </w:r>
    </w:p>
    <w:p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associés au recours à l’effet de levier.</w:t>
      </w:r>
    </w:p>
    <w:p w:rsidR="00D24737" w:rsidRPr="001B70AB" w:rsidRDefault="00D24737" w:rsidP="00374DC7">
      <w:pPr>
        <w:pStyle w:val="AMFDate"/>
        <w:ind w:left="0"/>
        <w:jc w:val="both"/>
        <w:rPr>
          <w:rFonts w:asciiTheme="minorHAnsi" w:hAnsiTheme="minorHAnsi" w:cstheme="minorHAnsi"/>
          <w:b w:val="0"/>
          <w:szCs w:val="20"/>
        </w:rPr>
      </w:pPr>
    </w:p>
    <w:p w:rsidR="00D24737" w:rsidRDefault="00DE7D4E" w:rsidP="00C07571">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Le prospectus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rsidR="00D24737" w:rsidRDefault="00D24737" w:rsidP="00C07571">
      <w:pPr>
        <w:pStyle w:val="AMFDate"/>
        <w:ind w:left="0"/>
        <w:jc w:val="both"/>
        <w:rPr>
          <w:rFonts w:asciiTheme="minorHAnsi" w:hAnsiTheme="minorHAnsi" w:cstheme="minorHAnsi"/>
          <w:b w:val="0"/>
          <w:szCs w:val="20"/>
        </w:rPr>
      </w:pPr>
    </w:p>
    <w:p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Garantie ou protection</w:t>
      </w:r>
    </w:p>
    <w:p w:rsidR="00D24737" w:rsidRDefault="00D24737" w:rsidP="00C07571">
      <w:pPr>
        <w:pStyle w:val="AMFDate"/>
        <w:ind w:left="0"/>
        <w:jc w:val="both"/>
        <w:rPr>
          <w:rFonts w:asciiTheme="minorHAnsi" w:hAnsiTheme="minorHAnsi" w:cstheme="minorHAnsi"/>
          <w:b w:val="0"/>
          <w:szCs w:val="20"/>
        </w:rPr>
      </w:pPr>
    </w:p>
    <w:p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rsidR="00D24737" w:rsidRDefault="00D24737" w:rsidP="00C07571">
      <w:pPr>
        <w:pStyle w:val="AMFDate"/>
        <w:ind w:left="0"/>
        <w:jc w:val="both"/>
        <w:rPr>
          <w:rFonts w:asciiTheme="minorHAnsi" w:hAnsiTheme="minorHAnsi" w:cstheme="minorHAnsi"/>
          <w:b w:val="0"/>
          <w:szCs w:val="20"/>
        </w:rPr>
      </w:pPr>
    </w:p>
    <w:p w:rsidR="00DE7D4E"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D24737" w:rsidRDefault="00D24737" w:rsidP="00C07571">
      <w:pPr>
        <w:pStyle w:val="AMFDate"/>
        <w:ind w:left="0"/>
        <w:jc w:val="both"/>
        <w:rPr>
          <w:rFonts w:asciiTheme="minorHAnsi" w:hAnsiTheme="minorHAnsi" w:cstheme="minorHAnsi"/>
          <w:b w:val="0"/>
          <w:szCs w:val="20"/>
        </w:rPr>
      </w:pPr>
    </w:p>
    <w:p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Souscripteurs concernés et profil de l'investisseur type</w:t>
      </w:r>
    </w:p>
    <w:p w:rsidR="00D24737" w:rsidRDefault="00D24737" w:rsidP="00C07571">
      <w:pPr>
        <w:pStyle w:val="AMFDate"/>
        <w:ind w:left="0"/>
        <w:jc w:val="both"/>
        <w:rPr>
          <w:rFonts w:asciiTheme="minorHAnsi" w:hAnsiTheme="minorHAnsi" w:cstheme="minorHAnsi"/>
          <w:b w:val="0"/>
          <w:szCs w:val="20"/>
        </w:rPr>
      </w:pPr>
    </w:p>
    <w:p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 xml:space="preserve">L’objectif de cette rubrique est de préciser quels souscripteurs ont accès au FIA et à quel type d’investisseurs le FIA s’adresse. </w:t>
      </w:r>
    </w:p>
    <w:p w:rsidR="00DE7D4E" w:rsidRPr="00DE7D4E" w:rsidRDefault="00DE7D4E" w:rsidP="00DE7D4E">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DE7D4E">
        <w:rPr>
          <w:rFonts w:asciiTheme="minorHAnsi" w:hAnsiTheme="minorHAnsi" w:cstheme="minorHAnsi"/>
          <w:b w:val="0"/>
          <w:szCs w:val="20"/>
        </w:rPr>
        <w:t xml:space="preserve"> décliner par catégorie de parts, le cas échéant)</w:t>
      </w:r>
    </w:p>
    <w:p w:rsidR="00D24737" w:rsidRDefault="00D24737" w:rsidP="00C07571">
      <w:pPr>
        <w:pStyle w:val="AMFDate"/>
        <w:ind w:left="0"/>
        <w:jc w:val="both"/>
        <w:rPr>
          <w:rFonts w:asciiTheme="minorHAnsi" w:hAnsiTheme="minorHAnsi" w:cstheme="minorHAnsi"/>
          <w:b w:val="0"/>
          <w:szCs w:val="20"/>
        </w:rPr>
      </w:pPr>
    </w:p>
    <w:p w:rsidR="00A27D34" w:rsidRDefault="00A27D34" w:rsidP="005A0E3B">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Elle doit donc :</w:t>
      </w:r>
    </w:p>
    <w:p w:rsidR="005A0E3B" w:rsidRPr="00A27D34" w:rsidRDefault="005A0E3B" w:rsidP="005A0E3B">
      <w:pPr>
        <w:pStyle w:val="AMFDate"/>
        <w:ind w:left="0"/>
        <w:jc w:val="both"/>
        <w:rPr>
          <w:rFonts w:asciiTheme="minorHAnsi" w:hAnsiTheme="minorHAnsi" w:cstheme="minorHAnsi"/>
          <w:b w:val="0"/>
          <w:szCs w:val="20"/>
        </w:rPr>
      </w:pPr>
    </w:p>
    <w:p w:rsidR="00A27D34" w:rsidRPr="00B426F4" w:rsidRDefault="00A27D34"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si le FIA est :</w:t>
      </w:r>
    </w:p>
    <w:p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w:t>
      </w:r>
    </w:p>
    <w:p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destiné plus particulièrement à X (par exemple, tous souscripteurs, plus particulièrement destiné à servir de support de contrats d’assurance vie en unité de compte de la compagnie d’assurance Z) ;</w:t>
      </w:r>
    </w:p>
    <w:p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Dédié à 20 investisseurs au plus : dans ce cas, il est indiqué dans cette rubrique que le nombre de souscripteurs ne peut excéder vingt personnes, qu'à l'exception des personnes suivantes qui peuvent ne souscrire qu'une part :</w:t>
      </w:r>
    </w:p>
    <w:p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La société de gestion du FIA ou une ent</w:t>
      </w:r>
      <w:r>
        <w:rPr>
          <w:rFonts w:asciiTheme="minorHAnsi" w:hAnsiTheme="minorHAnsi" w:cstheme="minorHAnsi"/>
          <w:b w:val="0"/>
          <w:szCs w:val="20"/>
        </w:rPr>
        <w:t>ité appartenant au même groupe ;</w:t>
      </w:r>
    </w:p>
    <w:p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L'établissement dépositaire ou une ent</w:t>
      </w:r>
      <w:r>
        <w:rPr>
          <w:rFonts w:asciiTheme="minorHAnsi" w:hAnsiTheme="minorHAnsi" w:cstheme="minorHAnsi"/>
          <w:b w:val="0"/>
          <w:szCs w:val="20"/>
        </w:rPr>
        <w:t>ité appartenant au même groupe ;</w:t>
      </w:r>
    </w:p>
    <w:p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promoteur du FIA ou une ent</w:t>
      </w:r>
      <w:r>
        <w:rPr>
          <w:rFonts w:asciiTheme="minorHAnsi" w:hAnsiTheme="minorHAnsi" w:cstheme="minorHAnsi"/>
          <w:b w:val="0"/>
          <w:szCs w:val="20"/>
        </w:rPr>
        <w:t>ité appartenant au même groupe ;</w:t>
      </w:r>
    </w:p>
    <w:p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FIA dédié à 20 investisseurs au plus ne fait l'objet d'aucune cotation, publicité, démarchage ou autre forme de sollicitation du public ;</w:t>
      </w:r>
    </w:p>
    <w:p w:rsidR="00A27D34" w:rsidRPr="00A27D34" w:rsidRDefault="00A27D34" w:rsidP="00A27D34">
      <w:pPr>
        <w:pStyle w:val="AMFDate"/>
        <w:numPr>
          <w:ilvl w:val="0"/>
          <w:numId w:val="17"/>
        </w:numPr>
        <w:jc w:val="both"/>
        <w:rPr>
          <w:rFonts w:asciiTheme="minorHAnsi" w:hAnsiTheme="minorHAnsi" w:cstheme="minorHAnsi"/>
          <w:szCs w:val="20"/>
        </w:rPr>
      </w:pPr>
      <w:r w:rsidRPr="00A27D34">
        <w:rPr>
          <w:rFonts w:asciiTheme="minorHAnsi" w:hAnsiTheme="minorHAnsi" w:cstheme="minorHAnsi"/>
          <w:b w:val="0"/>
          <w:szCs w:val="20"/>
        </w:rPr>
        <w:t>Dédié, plus particulièrement à X (par exemple, dédié aux filiales du groupe K) : dans ce cas, la rubrique précise clairement les caractéristiques de la catégorie d'investisseurs visés et que le FIA ne fait l'objet d'aucune cotation, publicité, démarchage ou autre forme de sollicitation du public</w:t>
      </w:r>
      <w:r w:rsidRPr="00A27D34">
        <w:rPr>
          <w:rFonts w:asciiTheme="minorHAnsi" w:hAnsiTheme="minorHAnsi" w:cstheme="minorHAnsi"/>
          <w:szCs w:val="20"/>
        </w:rPr>
        <w:t xml:space="preserve"> ;</w:t>
      </w:r>
    </w:p>
    <w:p w:rsidR="00D24737" w:rsidRDefault="00D24737" w:rsidP="00C07571">
      <w:pPr>
        <w:pStyle w:val="AMFDate"/>
        <w:ind w:left="0"/>
        <w:jc w:val="both"/>
        <w:rPr>
          <w:rFonts w:asciiTheme="minorHAnsi" w:hAnsiTheme="minorHAnsi" w:cstheme="minorHAnsi"/>
          <w:b w:val="0"/>
          <w:szCs w:val="20"/>
        </w:rPr>
      </w:pPr>
    </w:p>
    <w:p w:rsidR="00D24737" w:rsidRDefault="005A0E3B" w:rsidP="00C07571">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lastRenderedPageBreak/>
        <w:t xml:space="preserve">Lorsque le FIA </w:t>
      </w:r>
      <w:proofErr w:type="gramStart"/>
      <w:r w:rsidRPr="005A0E3B">
        <w:rPr>
          <w:rFonts w:asciiTheme="minorHAnsi" w:hAnsiTheme="minorHAnsi" w:cstheme="minorHAnsi"/>
          <w:b w:val="0"/>
          <w:szCs w:val="20"/>
        </w:rPr>
        <w:t>a</w:t>
      </w:r>
      <w:proofErr w:type="gramEnd"/>
      <w:r w:rsidRPr="005A0E3B">
        <w:rPr>
          <w:rFonts w:asciiTheme="minorHAnsi" w:hAnsiTheme="minorHAnsi" w:cstheme="minorHAnsi"/>
          <w:b w:val="0"/>
          <w:szCs w:val="20"/>
        </w:rPr>
        <w:t xml:space="preserve"> vocation à être commercialisé auprès d’une cible particulière d’investisseurs, cette catégorie d’investisseurs est définie précisément dans le prospectus. Une note technique devra être communiquée lors de la demande d’agrément, détaillant notamment la cible de clientèle visée et les modalités de commercialisation retenues.</w:t>
      </w:r>
    </w:p>
    <w:p w:rsidR="00D24737" w:rsidRDefault="00D24737" w:rsidP="00C07571">
      <w:pPr>
        <w:pStyle w:val="AMFDate"/>
        <w:ind w:left="0"/>
        <w:jc w:val="both"/>
        <w:rPr>
          <w:rFonts w:asciiTheme="minorHAnsi" w:hAnsiTheme="minorHAnsi" w:cstheme="minorHAnsi"/>
          <w:b w:val="0"/>
          <w:szCs w:val="20"/>
        </w:rPr>
      </w:pPr>
    </w:p>
    <w:p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lorsque le FIA est un fonds professionnel à vocation générale</w:t>
      </w:r>
      <w:r w:rsidR="00B426F4" w:rsidRPr="00B426F4">
        <w:rPr>
          <w:rFonts w:asciiTheme="minorHAnsi" w:eastAsiaTheme="minorEastAsia" w:hAnsiTheme="minorHAnsi" w:cstheme="minorHAnsi"/>
          <w:bCs/>
          <w:sz w:val="20"/>
          <w:szCs w:val="20"/>
        </w:rPr>
        <w:t xml:space="preserve"> </w:t>
      </w:r>
      <w:r w:rsidRPr="00B426F4">
        <w:rPr>
          <w:rFonts w:asciiTheme="minorHAnsi" w:eastAsiaTheme="minorEastAsia" w:hAnsiTheme="minorHAnsi" w:cstheme="minorHAnsi"/>
          <w:bCs/>
          <w:sz w:val="20"/>
          <w:szCs w:val="20"/>
        </w:rPr>
        <w:t>:</w:t>
      </w:r>
    </w:p>
    <w:p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nature des souscripteurs concernés, en reprenant la liste exacte énoncée aux articles 423-2 d</w:t>
      </w:r>
      <w:r w:rsidR="00B426F4">
        <w:rPr>
          <w:rFonts w:asciiTheme="minorHAnsi" w:hAnsiTheme="minorHAnsi" w:cstheme="minorHAnsi"/>
          <w:b w:val="0"/>
          <w:szCs w:val="20"/>
        </w:rPr>
        <w:t xml:space="preserve">u règlement général de l’AMF ; </w:t>
      </w:r>
      <w:proofErr w:type="gramStart"/>
      <w:r w:rsidR="00B426F4">
        <w:rPr>
          <w:rFonts w:asciiTheme="minorHAnsi" w:hAnsiTheme="minorHAnsi" w:cstheme="minorHAnsi"/>
          <w:b w:val="0"/>
          <w:szCs w:val="20"/>
        </w:rPr>
        <w:t>o</w:t>
      </w:r>
      <w:r w:rsidRPr="005A0E3B">
        <w:rPr>
          <w:rFonts w:asciiTheme="minorHAnsi" w:hAnsiTheme="minorHAnsi" w:cstheme="minorHAnsi"/>
          <w:b w:val="0"/>
          <w:szCs w:val="20"/>
        </w:rPr>
        <w:t>u</w:t>
      </w:r>
      <w:proofErr w:type="gramEnd"/>
    </w:p>
    <w:p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Que le FIA est commercialisé hors de France uniquement (éventuellement, en précisant dans quels pays).</w:t>
      </w:r>
    </w:p>
    <w:p w:rsidR="006151C6" w:rsidRPr="006151C6" w:rsidRDefault="006151C6" w:rsidP="006151C6">
      <w:pPr>
        <w:jc w:val="both"/>
        <w:rPr>
          <w:rFonts w:asciiTheme="minorHAnsi" w:eastAsiaTheme="minorEastAsia" w:hAnsiTheme="minorHAnsi" w:cstheme="minorHAnsi"/>
          <w:bCs/>
          <w:sz w:val="20"/>
          <w:szCs w:val="20"/>
        </w:rPr>
      </w:pPr>
    </w:p>
    <w:p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 xml:space="preserve">Expliciter quel est le profil type de l’investisseur pour lequel le FIA a été créé, ainsi que la durée de placement recommandée le cas échéant. </w:t>
      </w:r>
    </w:p>
    <w:p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S’agissant du profil type de l’investisseur, sa description est complétée, lorsque cela </w:t>
      </w:r>
      <w:r w:rsidR="006151C6">
        <w:rPr>
          <w:rFonts w:asciiTheme="minorHAnsi" w:hAnsiTheme="minorHAnsi" w:cstheme="minorHAnsi"/>
          <w:b w:val="0"/>
          <w:szCs w:val="20"/>
        </w:rPr>
        <w:t>est pertinent, par des éléments</w:t>
      </w:r>
      <w:r w:rsidR="00B51263">
        <w:rPr>
          <w:rFonts w:asciiTheme="minorHAnsi" w:hAnsiTheme="minorHAnsi" w:cstheme="minorHAnsi"/>
          <w:b w:val="0"/>
          <w:szCs w:val="20"/>
        </w:rPr>
        <w:t>,</w:t>
      </w:r>
      <w:r w:rsidR="006151C6">
        <w:rPr>
          <w:rFonts w:asciiTheme="minorHAnsi" w:hAnsiTheme="minorHAnsi" w:cstheme="minorHAnsi"/>
          <w:b w:val="0"/>
          <w:szCs w:val="20"/>
        </w:rPr>
        <w:t xml:space="preserve"> </w:t>
      </w:r>
      <w:r w:rsidRPr="005A0E3B">
        <w:rPr>
          <w:rFonts w:asciiTheme="minorHAnsi" w:hAnsiTheme="minorHAnsi" w:cstheme="minorHAnsi"/>
          <w:b w:val="0"/>
          <w:szCs w:val="20"/>
        </w:rPr>
        <w:t>sur :</w:t>
      </w:r>
    </w:p>
    <w:p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L’aversion au risque ou la recherche de l’exposition à un risque des souscripteurs visés ;</w:t>
      </w:r>
    </w:p>
    <w:p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proportion du portefeuille financier ou du patrimoine des clients qu’il est raisonnable d’investir dans ce FIA ;</w:t>
      </w:r>
    </w:p>
    <w:p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 xml:space="preserve">Ainsi qu’un avertissement sur la nécessité de diversification des placements. </w:t>
      </w:r>
    </w:p>
    <w:p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S’agissant de la durée de placement recommandée, celle-ci doit être cohérente avec l’objectif de gestion et les catégories d’instruments dans lequel le FIA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FIA « actions » était inférieure à 5 ans.</w:t>
      </w:r>
    </w:p>
    <w:p w:rsidR="00D24737" w:rsidRPr="005A0E3B" w:rsidRDefault="00D24737" w:rsidP="005A0E3B">
      <w:pPr>
        <w:pStyle w:val="AMFDate"/>
        <w:ind w:left="0"/>
        <w:jc w:val="both"/>
        <w:rPr>
          <w:rFonts w:asciiTheme="minorHAnsi" w:hAnsiTheme="minorHAnsi" w:cstheme="minorHAnsi"/>
          <w:b w:val="0"/>
          <w:szCs w:val="20"/>
        </w:rPr>
      </w:pPr>
    </w:p>
    <w:p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Modalités de détermination et d'affectation des sommes distribuables</w:t>
      </w:r>
    </w:p>
    <w:p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rsidR="00043DC8" w:rsidRDefault="00043DC8" w:rsidP="00C07571">
      <w:pPr>
        <w:pStyle w:val="AMFDate"/>
        <w:ind w:left="0"/>
        <w:jc w:val="both"/>
        <w:rPr>
          <w:rFonts w:asciiTheme="minorHAnsi" w:hAnsiTheme="minorHAnsi" w:cstheme="minorHAnsi"/>
          <w:b w:val="0"/>
          <w:szCs w:val="20"/>
        </w:rPr>
      </w:pPr>
    </w:p>
    <w:p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Fréquence de distribution</w:t>
      </w:r>
    </w:p>
    <w:p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rsidR="00D24737" w:rsidRDefault="00D24737" w:rsidP="00C07571">
      <w:pPr>
        <w:pStyle w:val="AMFDate"/>
        <w:ind w:left="0"/>
        <w:jc w:val="both"/>
        <w:rPr>
          <w:rFonts w:asciiTheme="minorHAnsi" w:hAnsiTheme="minorHAnsi" w:cstheme="minorHAnsi"/>
          <w:b w:val="0"/>
          <w:szCs w:val="20"/>
        </w:rPr>
      </w:pPr>
    </w:p>
    <w:p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Caractéristiques des parts ou actions (devises de libellé, fractionnement, etc.)</w:t>
      </w:r>
    </w:p>
    <w:p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rsidR="00D24737" w:rsidRDefault="00D24737" w:rsidP="00C07571">
      <w:pPr>
        <w:pStyle w:val="AMFDate"/>
        <w:ind w:left="0"/>
        <w:jc w:val="both"/>
        <w:rPr>
          <w:rFonts w:asciiTheme="minorHAnsi" w:hAnsiTheme="minorHAnsi" w:cstheme="minorHAnsi"/>
          <w:b w:val="0"/>
          <w:szCs w:val="20"/>
        </w:rPr>
      </w:pPr>
    </w:p>
    <w:p w:rsidR="00D24737" w:rsidRDefault="00627882" w:rsidP="00C07571">
      <w:pPr>
        <w:pStyle w:val="AMFDate"/>
        <w:ind w:left="0"/>
        <w:jc w:val="both"/>
        <w:rPr>
          <w:rFonts w:asciiTheme="minorHAnsi" w:hAnsiTheme="minorHAnsi" w:cstheme="minorHAnsi"/>
          <w:b w:val="0"/>
          <w:szCs w:val="20"/>
        </w:rPr>
      </w:pPr>
      <w:r w:rsidRPr="00627882">
        <w:rPr>
          <w:rFonts w:asciiTheme="minorHAnsi" w:hAnsiTheme="minorHAnsi" w:cstheme="minorHAnsi"/>
          <w:b w:val="0"/>
          <w:szCs w:val="20"/>
        </w:rPr>
        <w:t>Dans les conditions de l’article 422-23 du règlement général de l’AMF, le prospectus devra comporter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w:t>
      </w:r>
    </w:p>
    <w:p w:rsidR="00D24737" w:rsidRDefault="00D24737" w:rsidP="00C07571">
      <w:pPr>
        <w:pStyle w:val="AMFDate"/>
        <w:ind w:left="0"/>
        <w:jc w:val="both"/>
        <w:rPr>
          <w:rFonts w:asciiTheme="minorHAnsi" w:hAnsiTheme="minorHAnsi" w:cstheme="minorHAnsi"/>
          <w:b w:val="0"/>
          <w:szCs w:val="20"/>
        </w:rPr>
      </w:pPr>
    </w:p>
    <w:p w:rsidR="006D5AEC" w:rsidRDefault="006D5AEC" w:rsidP="006D5AEC">
      <w:pPr>
        <w:pStyle w:val="AMFDate"/>
        <w:numPr>
          <w:ilvl w:val="2"/>
          <w:numId w:val="6"/>
        </w:numPr>
        <w:jc w:val="both"/>
        <w:rPr>
          <w:rFonts w:asciiTheme="minorHAnsi" w:hAnsiTheme="minorHAnsi" w:cstheme="minorHAnsi"/>
          <w:b w:val="0"/>
          <w:szCs w:val="20"/>
        </w:rPr>
      </w:pPr>
      <w:r w:rsidRPr="006D5AEC">
        <w:rPr>
          <w:rFonts w:asciiTheme="minorHAnsi" w:hAnsiTheme="minorHAnsi" w:cstheme="minorHAnsi"/>
          <w:b w:val="0"/>
          <w:szCs w:val="20"/>
        </w:rPr>
        <w:t>Modalités de souscription et de rachat</w:t>
      </w:r>
    </w:p>
    <w:p w:rsidR="00D24737" w:rsidRDefault="00006F7E"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06F7E">
        <w:rPr>
          <w:rFonts w:asciiTheme="minorHAnsi" w:hAnsiTheme="minorHAnsi" w:cstheme="minorHAnsi"/>
          <w:b w:val="0"/>
          <w:szCs w:val="20"/>
        </w:rPr>
        <w:t>vec mention et adresse de l'organisme désigné pour recevoir les souscriptions et les rachats)</w:t>
      </w:r>
    </w:p>
    <w:p w:rsidR="00D24737" w:rsidRDefault="00D24737" w:rsidP="00C07571">
      <w:pPr>
        <w:pStyle w:val="AMFDate"/>
        <w:ind w:left="0"/>
        <w:jc w:val="both"/>
        <w:rPr>
          <w:rFonts w:asciiTheme="minorHAnsi" w:hAnsiTheme="minorHAnsi" w:cstheme="minorHAnsi"/>
          <w:b w:val="0"/>
          <w:szCs w:val="20"/>
        </w:rPr>
      </w:pPr>
    </w:p>
    <w:p w:rsidR="00006F7E" w:rsidRPr="00006F7E" w:rsidRDefault="00006F7E" w:rsidP="00006F7E">
      <w:pPr>
        <w:pStyle w:val="AMFDate"/>
        <w:ind w:left="0"/>
        <w:jc w:val="both"/>
        <w:rPr>
          <w:rFonts w:asciiTheme="minorHAnsi" w:hAnsiTheme="minorHAnsi" w:cstheme="minorHAnsi"/>
          <w:b w:val="0"/>
          <w:szCs w:val="20"/>
        </w:rPr>
      </w:pPr>
      <w:r w:rsidRPr="00006F7E">
        <w:rPr>
          <w:rFonts w:asciiTheme="minorHAnsi" w:hAnsiTheme="minorHAnsi" w:cstheme="minorHAnsi"/>
          <w:b w:val="0"/>
          <w:szCs w:val="20"/>
        </w:rPr>
        <w:t>Cette rubrique comporte les mentions et le tableau suivants</w:t>
      </w:r>
      <w:r w:rsidRPr="00006F7E">
        <w:rPr>
          <w:rFonts w:asciiTheme="minorHAnsi" w:hAnsiTheme="minorHAnsi" w:cstheme="minorHAnsi"/>
          <w:b w:val="0"/>
          <w:szCs w:val="20"/>
          <w:vertAlign w:val="superscript"/>
        </w:rPr>
        <w:footnoteReference w:id="14"/>
      </w:r>
      <w:r w:rsidRPr="00006F7E">
        <w:rPr>
          <w:rFonts w:asciiTheme="minorHAnsi" w:hAnsiTheme="minorHAnsi" w:cstheme="minorHAnsi"/>
          <w:b w:val="0"/>
          <w:szCs w:val="20"/>
        </w:rPr>
        <w:t> :</w:t>
      </w:r>
    </w:p>
    <w:p w:rsidR="00006F7E" w:rsidRPr="00006F7E" w:rsidRDefault="00006F7E" w:rsidP="00006F7E">
      <w:pPr>
        <w:pStyle w:val="AMFDate"/>
        <w:jc w:val="both"/>
        <w:rPr>
          <w:rFonts w:asciiTheme="minorHAnsi" w:hAnsiTheme="minorHAnsi" w:cstheme="minorHAnsi"/>
          <w:b w:val="0"/>
          <w:szCs w:val="20"/>
        </w:rPr>
      </w:pPr>
    </w:p>
    <w:p w:rsidR="00006F7E" w:rsidRPr="00006F7E" w:rsidRDefault="00006F7E" w:rsidP="00006F7E">
      <w:pPr>
        <w:pStyle w:val="AMFDate"/>
        <w:ind w:left="0"/>
        <w:jc w:val="both"/>
        <w:rPr>
          <w:rFonts w:asciiTheme="minorHAnsi" w:hAnsiTheme="minorHAnsi" w:cstheme="minorHAnsi"/>
          <w:b w:val="0"/>
          <w:i/>
          <w:szCs w:val="20"/>
        </w:rPr>
      </w:pPr>
      <w:r w:rsidRPr="00006F7E">
        <w:rPr>
          <w:rFonts w:asciiTheme="minorHAnsi" w:hAnsiTheme="minorHAnsi" w:cstheme="minorHAnsi"/>
          <w:b w:val="0"/>
          <w:szCs w:val="20"/>
        </w:rPr>
        <w:t>«</w:t>
      </w:r>
      <w:r w:rsidRPr="00006F7E">
        <w:rPr>
          <w:rFonts w:asciiTheme="minorHAnsi" w:hAnsiTheme="minorHAnsi" w:cstheme="minorHAnsi"/>
          <w:b w:val="0"/>
          <w:i/>
          <w:szCs w:val="20"/>
        </w:rPr>
        <w:t> Les ordres sont exécutés conformément au tableau ci-dessous :</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0E4889" w:rsidRPr="000E4889" w:rsidTr="00534BCB">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lastRenderedPageBreak/>
              <w:t>J-q ouvrés [0 ≤ q ≤ 5]</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J-p ouvrés [0 ≤ p ≤ 5]</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u w:val="single"/>
              </w:rPr>
              <w:t>J</w:t>
            </w:r>
            <w:r w:rsidRPr="000E4889">
              <w:rPr>
                <w:rFonts w:asciiTheme="minorHAnsi" w:eastAsia="Times" w:hAnsiTheme="minorHAnsi" w:cs="Arial"/>
                <w:i/>
              </w:rPr>
              <w:t xml:space="preserve"> : jour d’établissement de la VL</w:t>
            </w:r>
          </w:p>
        </w:tc>
        <w:tc>
          <w:tcPr>
            <w:tcW w:w="1430" w:type="dxa"/>
          </w:tcPr>
          <w:p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J+y</w:t>
            </w:r>
            <w:proofErr w:type="spellEnd"/>
            <w:r w:rsidRPr="000E4889">
              <w:rPr>
                <w:rFonts w:asciiTheme="minorHAnsi" w:eastAsia="Times" w:hAnsiTheme="minorHAnsi" w:cs="Arial"/>
                <w:i/>
              </w:rPr>
              <w:t xml:space="preserve"> ouvrés</w:t>
            </w:r>
          </w:p>
        </w:tc>
        <w:tc>
          <w:tcPr>
            <w:tcW w:w="1430" w:type="dxa"/>
          </w:tcPr>
          <w:p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J+s</w:t>
            </w:r>
            <w:proofErr w:type="spellEnd"/>
            <w:r w:rsidRPr="000E4889">
              <w:rPr>
                <w:rFonts w:asciiTheme="minorHAnsi" w:eastAsia="Times" w:hAnsiTheme="minorHAnsi" w:cs="Arial"/>
                <w:i/>
              </w:rPr>
              <w:t xml:space="preserve"> ouvrés [0  ≤ s ≤ 5]</w:t>
            </w:r>
          </w:p>
        </w:tc>
        <w:tc>
          <w:tcPr>
            <w:tcW w:w="1430" w:type="dxa"/>
          </w:tcPr>
          <w:p w:rsidR="000E4889" w:rsidRPr="000E4889" w:rsidRDefault="000E4889" w:rsidP="000E4889">
            <w:pPr>
              <w:keepNext/>
              <w:keepLines/>
              <w:spacing w:line="360" w:lineRule="auto"/>
              <w:rPr>
                <w:rFonts w:asciiTheme="minorHAnsi" w:eastAsia="Times" w:hAnsiTheme="minorHAnsi" w:cs="Arial"/>
                <w:i/>
              </w:rPr>
            </w:pPr>
            <w:proofErr w:type="spellStart"/>
            <w:r w:rsidRPr="000E4889">
              <w:rPr>
                <w:rFonts w:asciiTheme="minorHAnsi" w:eastAsia="Times" w:hAnsiTheme="minorHAnsi" w:cs="Arial"/>
                <w:i/>
              </w:rPr>
              <w:t>J+z</w:t>
            </w:r>
            <w:proofErr w:type="spellEnd"/>
            <w:r w:rsidRPr="000E4889">
              <w:rPr>
                <w:rFonts w:asciiTheme="minorHAnsi" w:eastAsia="Times" w:hAnsiTheme="minorHAnsi" w:cs="Arial"/>
                <w:i/>
              </w:rPr>
              <w:t xml:space="preserve"> ouvrés [0 ≤ z ≤ 5]</w:t>
            </w:r>
          </w:p>
        </w:tc>
      </w:tr>
      <w:tr w:rsidR="000E4889" w:rsidRPr="000E4889" w:rsidTr="00534BCB">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souscription</w:t>
            </w:r>
            <w:r w:rsidRPr="000E4889">
              <w:rPr>
                <w:rFonts w:asciiTheme="minorHAnsi" w:eastAsia="Times" w:hAnsiTheme="minorHAnsi"/>
                <w:vertAlign w:val="superscript"/>
              </w:rPr>
              <w:t>1</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rachat</w:t>
            </w:r>
            <w:r w:rsidRPr="000E4889">
              <w:rPr>
                <w:rFonts w:asciiTheme="minorHAnsi" w:eastAsia="Times" w:hAnsiTheme="minorHAnsi"/>
                <w:vertAlign w:val="superscript"/>
              </w:rPr>
              <w:t>1</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Exécution de l’ordre au plus tard en J</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Publication de la valeur liquidative</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Livraison des souscriptions</w:t>
            </w:r>
          </w:p>
        </w:tc>
        <w:tc>
          <w:tcPr>
            <w:tcW w:w="1430" w:type="dxa"/>
          </w:tcPr>
          <w:p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Règlement des rachats</w:t>
            </w:r>
          </w:p>
        </w:tc>
      </w:tr>
    </w:tbl>
    <w:p w:rsidR="000E4889" w:rsidRPr="000E4889" w:rsidRDefault="000E4889" w:rsidP="00C40BBE">
      <w:pPr>
        <w:pStyle w:val="AMFDate"/>
        <w:ind w:left="0" w:firstLine="708"/>
        <w:jc w:val="left"/>
        <w:rPr>
          <w:rFonts w:asciiTheme="minorHAnsi" w:hAnsiTheme="minorHAnsi" w:cstheme="minorHAnsi"/>
          <w:b w:val="0"/>
          <w:i/>
          <w:szCs w:val="20"/>
        </w:rPr>
      </w:pPr>
      <w:r w:rsidRPr="000E4889">
        <w:rPr>
          <w:rFonts w:asciiTheme="minorHAnsi" w:hAnsiTheme="minorHAnsi" w:cstheme="minorHAnsi"/>
          <w:b w:val="0"/>
          <w:i/>
          <w:szCs w:val="20"/>
          <w:vertAlign w:val="superscript"/>
        </w:rPr>
        <w:t>1</w:t>
      </w:r>
      <w:r w:rsidRPr="000E4889">
        <w:rPr>
          <w:rFonts w:asciiTheme="minorHAnsi" w:hAnsiTheme="minorHAnsi" w:cstheme="minorHAnsi"/>
          <w:b w:val="0"/>
          <w:i/>
          <w:szCs w:val="20"/>
        </w:rPr>
        <w:t>Sauf éventuel délai spécifique convenu avec votre établissement financier. »</w:t>
      </w:r>
    </w:p>
    <w:p w:rsidR="00D24737" w:rsidRDefault="00D24737" w:rsidP="00C07571">
      <w:pPr>
        <w:pStyle w:val="AMFDate"/>
        <w:ind w:left="0"/>
        <w:jc w:val="both"/>
        <w:rPr>
          <w:rFonts w:asciiTheme="minorHAnsi" w:hAnsiTheme="minorHAnsi" w:cstheme="minorHAnsi"/>
          <w:b w:val="0"/>
          <w:szCs w:val="20"/>
        </w:rPr>
      </w:pPr>
    </w:p>
    <w:p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Précision des modalités de passage d'un compartiment à un autre, d’une catégorie de parts ou d’actions à une autre, y compris du point de vue fiscal ;</w:t>
      </w:r>
    </w:p>
    <w:p w:rsidR="00FD581D" w:rsidRPr="00FD581D" w:rsidRDefault="00FD581D" w:rsidP="00FD581D">
      <w:pPr>
        <w:jc w:val="both"/>
        <w:rPr>
          <w:rFonts w:asciiTheme="minorHAnsi" w:eastAsiaTheme="minorEastAsia" w:hAnsiTheme="minorHAnsi" w:cstheme="minorHAnsi"/>
          <w:bCs/>
          <w:sz w:val="20"/>
          <w:szCs w:val="20"/>
        </w:rPr>
      </w:pPr>
    </w:p>
    <w:p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w:t>
      </w:r>
      <w:r w:rsidRPr="00E17D22">
        <w:rPr>
          <w:rFonts w:asciiTheme="minorHAnsi" w:eastAsiaTheme="minorEastAsia" w:hAnsiTheme="minorHAnsi" w:cstheme="minorHAnsi"/>
          <w:bCs/>
          <w:sz w:val="20"/>
          <w:szCs w:val="20"/>
        </w:rPr>
        <w:t>our un FIA dont les parts ou actions sont admises aux négociations sur un marché réglementé ou un système multilatéral de négociation</w:t>
      </w:r>
      <w:r>
        <w:rPr>
          <w:rFonts w:asciiTheme="minorHAnsi" w:eastAsiaTheme="minorEastAsia" w:hAnsiTheme="minorHAnsi" w:cstheme="minorHAnsi"/>
          <w:bCs/>
          <w:sz w:val="20"/>
          <w:szCs w:val="20"/>
        </w:rPr>
        <w:t xml:space="preserve"> : indication </w:t>
      </w:r>
      <w:r w:rsidRPr="00E17D22">
        <w:rPr>
          <w:rFonts w:asciiTheme="minorHAnsi" w:eastAsiaTheme="minorEastAsia" w:hAnsiTheme="minorHAnsi" w:cstheme="minorHAnsi"/>
          <w:bCs/>
          <w:sz w:val="20"/>
          <w:szCs w:val="20"/>
        </w:rPr>
        <w:t>des modalités d’admission sur un marché réglementé ou un système multilatéral de négociation où les parts négociées</w:t>
      </w:r>
      <w:r w:rsidR="00FD581D">
        <w:rPr>
          <w:rFonts w:asciiTheme="minorHAnsi" w:eastAsiaTheme="minorEastAsia" w:hAnsiTheme="minorHAnsi" w:cstheme="minorHAnsi"/>
          <w:bCs/>
          <w:sz w:val="20"/>
          <w:szCs w:val="20"/>
        </w:rPr>
        <w:t> ;</w:t>
      </w:r>
    </w:p>
    <w:p w:rsidR="00FD581D" w:rsidRPr="00FD581D" w:rsidRDefault="00FD581D" w:rsidP="00FD581D">
      <w:pPr>
        <w:jc w:val="both"/>
        <w:rPr>
          <w:rFonts w:asciiTheme="minorHAnsi" w:eastAsiaTheme="minorEastAsia" w:hAnsiTheme="minorHAnsi" w:cstheme="minorHAnsi"/>
          <w:bCs/>
          <w:sz w:val="20"/>
          <w:szCs w:val="20"/>
        </w:rPr>
      </w:pPr>
    </w:p>
    <w:p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Possibilités prévues de limiter ou arrêter les souscriptions ;</w:t>
      </w:r>
    </w:p>
    <w:p w:rsidR="00FD581D" w:rsidRPr="00FD581D" w:rsidRDefault="00FD581D" w:rsidP="00FD581D">
      <w:pPr>
        <w:jc w:val="both"/>
        <w:rPr>
          <w:rFonts w:asciiTheme="minorHAnsi" w:eastAsiaTheme="minorEastAsia" w:hAnsiTheme="minorHAnsi" w:cstheme="minorHAnsi"/>
          <w:bCs/>
          <w:sz w:val="20"/>
          <w:szCs w:val="20"/>
        </w:rPr>
      </w:pPr>
    </w:p>
    <w:p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 xml:space="preserve">Existence et description d’éventuels préavis incitatifs de souscription et/ou de rachat : </w:t>
      </w:r>
    </w:p>
    <w:p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 xml:space="preserve"> Exemple de rédaction de préavis incitatif de rachat :</w:t>
      </w:r>
    </w:p>
    <w:p w:rsidR="00E17D22" w:rsidRPr="00E17D22" w:rsidRDefault="00E17D22" w:rsidP="006122EF">
      <w:pPr>
        <w:pStyle w:val="AMFDate"/>
        <w:ind w:left="0"/>
        <w:jc w:val="both"/>
        <w:rPr>
          <w:rFonts w:asciiTheme="minorHAnsi" w:hAnsiTheme="minorHAnsi" w:cstheme="minorHAnsi"/>
          <w:b w:val="0"/>
          <w:i/>
          <w:szCs w:val="20"/>
        </w:rPr>
      </w:pPr>
      <w:r w:rsidRPr="00E17D22">
        <w:rPr>
          <w:rFonts w:asciiTheme="minorHAnsi" w:hAnsiTheme="minorHAnsi" w:cstheme="minorHAnsi"/>
          <w:b w:val="0"/>
          <w:i/>
          <w:szCs w:val="20"/>
        </w:rPr>
        <w:t xml:space="preserve"> « Des commissions de rachat s’appliqueront dans les conditions suivantes :</w:t>
      </w:r>
    </w:p>
    <w:p w:rsidR="00E17D22" w:rsidRP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les règlements sans délai d’exécution de l’ordre : 2 % acquis au FIA pour toute demande de rachat présentée avec un préavis inférieur à 35 jours ; </w:t>
      </w:r>
    </w:p>
    <w:p w:rsid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w:t>
      </w:r>
      <w:r w:rsidR="00E17D22" w:rsidRPr="00E17D22">
        <w:rPr>
          <w:rFonts w:asciiTheme="minorHAnsi" w:hAnsiTheme="minorHAnsi" w:cstheme="minorHAnsi"/>
          <w:b w:val="0"/>
          <w:szCs w:val="20"/>
        </w:rPr>
        <w:t>les</w:t>
      </w:r>
      <w:r w:rsidR="00E17D22" w:rsidRPr="00E17D22">
        <w:rPr>
          <w:rFonts w:asciiTheme="minorHAnsi" w:hAnsiTheme="minorHAnsi" w:cstheme="minorHAnsi"/>
          <w:b w:val="0"/>
          <w:i/>
          <w:szCs w:val="20"/>
        </w:rPr>
        <w:t xml:space="preserve"> règlements avec un délai d’exécution de l’ordre (préavis) égal ou supérieur à 35 jours : néant. »</w:t>
      </w:r>
    </w:p>
    <w:p w:rsidR="00FD581D" w:rsidRPr="00E17D22" w:rsidRDefault="00FD581D" w:rsidP="00FD581D">
      <w:pPr>
        <w:pStyle w:val="AMFDate"/>
        <w:ind w:left="0"/>
        <w:jc w:val="both"/>
        <w:rPr>
          <w:rFonts w:asciiTheme="minorHAnsi" w:hAnsiTheme="minorHAnsi" w:cstheme="minorHAnsi"/>
          <w:b w:val="0"/>
          <w:i/>
          <w:szCs w:val="20"/>
        </w:rPr>
      </w:pPr>
    </w:p>
    <w:p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Existence et description d’un éventuel délai entre la date de centralisation d’un ordre de souscription ou de rachat, et la date de règlement par le teneur de compte émetteur ou de livraison des parts ou actions du FIA (uniquement pour les fonds de fonds alternatifs et les fonds professionnels à vocation générale).</w:t>
      </w:r>
    </w:p>
    <w:p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Exemple de rédaction portant sur le délai applicable lors du rachat de parts ou actions pour un FIA dont la périodicité de valorisation est mensuelle :</w:t>
      </w:r>
    </w:p>
    <w:p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 Le délai entre la date de centralisation de l’ordre de souscription ou de rachat et la date de règlement de cet ordre par le dépositaire au porteur est de XX (60 jours maximum) :</w:t>
      </w:r>
    </w:p>
    <w:p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1) La valeur liquidative est établie le dernier jour de chaque mois (date d’établissement de la valeur liquidative). </w:t>
      </w:r>
    </w:p>
    <w:p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2) La valeur liquidative est calculée et publiée au plus tard 20 jours après la date d’établissement de la valeur liquidative. </w:t>
      </w:r>
    </w:p>
    <w:p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3) Le dépositaire règle les parts ou actions au plus tard 5 jours après la date de calcul et de publication de la valeur liquidative.</w:t>
      </w:r>
    </w:p>
    <w:p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Cet exemple ne tient pas compte des décalages pouvant intervenir si les jours mentionnés ne sont pas ouvrés ».</w:t>
      </w:r>
    </w:p>
    <w:p w:rsidR="00D24737" w:rsidRDefault="00D24737" w:rsidP="00C07571">
      <w:pPr>
        <w:pStyle w:val="AMFDate"/>
        <w:ind w:left="0"/>
        <w:jc w:val="both"/>
        <w:rPr>
          <w:rFonts w:asciiTheme="minorHAnsi" w:hAnsiTheme="minorHAnsi" w:cstheme="minorHAnsi"/>
          <w:b w:val="0"/>
          <w:szCs w:val="20"/>
        </w:rPr>
      </w:pPr>
    </w:p>
    <w:p w:rsidR="006122EF" w:rsidRPr="00EA0A25" w:rsidRDefault="006122EF" w:rsidP="00EA0A25">
      <w:pPr>
        <w:pStyle w:val="Paragraphedeliste"/>
        <w:numPr>
          <w:ilvl w:val="0"/>
          <w:numId w:val="27"/>
        </w:numPr>
        <w:jc w:val="both"/>
        <w:rPr>
          <w:rFonts w:asciiTheme="minorHAnsi" w:eastAsiaTheme="minorEastAsia" w:hAnsiTheme="minorHAnsi" w:cstheme="minorHAnsi"/>
          <w:bCs/>
          <w:sz w:val="20"/>
          <w:szCs w:val="20"/>
        </w:rPr>
      </w:pPr>
      <w:r w:rsidRPr="00EA0A25">
        <w:rPr>
          <w:rFonts w:asciiTheme="minorHAnsi" w:eastAsiaTheme="minorEastAsia" w:hAnsiTheme="minorHAnsi" w:cstheme="minorHAnsi"/>
          <w:bCs/>
          <w:sz w:val="20"/>
          <w:szCs w:val="20"/>
        </w:rPr>
        <w:lastRenderedPageBreak/>
        <w:t xml:space="preserve">Existence d'un éventuel dispositif de plafonnement des rachats (« </w:t>
      </w:r>
      <w:proofErr w:type="spellStart"/>
      <w:r w:rsidRPr="00EA0A25">
        <w:rPr>
          <w:rFonts w:asciiTheme="minorHAnsi" w:eastAsiaTheme="minorEastAsia" w:hAnsiTheme="minorHAnsi" w:cstheme="minorHAnsi"/>
          <w:bCs/>
          <w:sz w:val="20"/>
          <w:szCs w:val="20"/>
        </w:rPr>
        <w:t>gates</w:t>
      </w:r>
      <w:proofErr w:type="spellEnd"/>
      <w:r w:rsidRPr="00EA0A25">
        <w:rPr>
          <w:rFonts w:asciiTheme="minorHAnsi" w:eastAsiaTheme="minorEastAsia" w:hAnsiTheme="minorHAnsi" w:cstheme="minorHAnsi"/>
          <w:bCs/>
          <w:sz w:val="20"/>
          <w:szCs w:val="20"/>
        </w:rPr>
        <w:t xml:space="preserve"> »)</w:t>
      </w:r>
    </w:p>
    <w:p w:rsidR="006122EF" w:rsidRPr="006122EF" w:rsidRDefault="006122EF" w:rsidP="006122EF">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 xml:space="preserve">Les modalités de fonctionnement des « </w:t>
      </w:r>
      <w:proofErr w:type="spellStart"/>
      <w:r w:rsidRPr="006122EF">
        <w:rPr>
          <w:rFonts w:asciiTheme="minorHAnsi" w:hAnsiTheme="minorHAnsi" w:cstheme="minorHAnsi"/>
          <w:b w:val="0"/>
          <w:szCs w:val="20"/>
        </w:rPr>
        <w:t>gates</w:t>
      </w:r>
      <w:proofErr w:type="spellEnd"/>
      <w:r w:rsidRPr="006122EF">
        <w:rPr>
          <w:rFonts w:asciiTheme="minorHAnsi" w:hAnsiTheme="minorHAnsi" w:cstheme="minorHAnsi"/>
          <w:b w:val="0"/>
          <w:szCs w:val="20"/>
        </w:rPr>
        <w:t xml:space="preserve"> » doivent être décrites de façon précise dans les prospectus des FIA concernés. Les précisions d'ordre juridique compléteront la rubrique au sein du prospectus. Il est rappelé que la société de gestion doit évaluer la pertinence du dispositif retenu, notamment au regard des conséquences sur la gestion de la liquidité du FIA que pourraient avoir certains dispositifs de plafonnement des rachats.</w:t>
      </w:r>
    </w:p>
    <w:p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Description</w:t>
      </w:r>
      <w:r w:rsidRPr="006122EF">
        <w:rPr>
          <w:rFonts w:asciiTheme="minorHAnsi" w:hAnsiTheme="minorHAnsi" w:cstheme="minorHAnsi"/>
          <w:b w:val="0"/>
          <w:szCs w:val="20"/>
        </w:rPr>
        <w:t xml:space="preserve"> de la méthode retenue (méthode de calcul, seuil d'activation des « </w:t>
      </w:r>
      <w:proofErr w:type="spellStart"/>
      <w:r w:rsidRPr="006122EF">
        <w:rPr>
          <w:rFonts w:asciiTheme="minorHAnsi" w:hAnsiTheme="minorHAnsi" w:cstheme="minorHAnsi"/>
          <w:b w:val="0"/>
          <w:szCs w:val="20"/>
        </w:rPr>
        <w:t>gates</w:t>
      </w:r>
      <w:proofErr w:type="spellEnd"/>
      <w:r w:rsidRPr="006122EF">
        <w:rPr>
          <w:rFonts w:asciiTheme="minorHAnsi" w:hAnsiTheme="minorHAnsi" w:cstheme="minorHAnsi"/>
          <w:b w:val="0"/>
          <w:szCs w:val="20"/>
        </w:rPr>
        <w:t xml:space="preserve"> » qui doit être appliqué sur les rachats centralisés pour l'ensemble de l'actif du FIA et non de façon spécifique selon les catégories de parts, éventuel montant minimum nécessaires au déclenchement de l'application des règles de plafonnement des ordres de rachats, date de calcul, exceptions éventuelles…)</w:t>
      </w:r>
    </w:p>
    <w:p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Modalités</w:t>
      </w:r>
      <w:r w:rsidRPr="006122EF">
        <w:rPr>
          <w:rFonts w:asciiTheme="minorHAnsi" w:hAnsiTheme="minorHAnsi" w:cstheme="minorHAnsi"/>
          <w:b w:val="0"/>
          <w:szCs w:val="20"/>
        </w:rPr>
        <w:t xml:space="preserve"> d'information des porteurs dont les ordres n'ont pas été exécutés, et modalités d'information de l'ensemble des porteurs/actionnaires en cas d'activation du mécanisme de plafonnement des rachats</w:t>
      </w:r>
    </w:p>
    <w:p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Traitement</w:t>
      </w:r>
      <w:r w:rsidRPr="006122EF">
        <w:rPr>
          <w:rFonts w:asciiTheme="minorHAnsi" w:hAnsiTheme="minorHAnsi" w:cstheme="minorHAnsi"/>
          <w:b w:val="0"/>
          <w:szCs w:val="20"/>
        </w:rPr>
        <w:t xml:space="preserve"> des ordres non exécutés (report, annulation, faculté ouverte aux porteurs de s’opposer au report automatique)</w:t>
      </w:r>
    </w:p>
    <w:p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Exemple</w:t>
      </w:r>
      <w:r w:rsidRPr="006122EF">
        <w:rPr>
          <w:rFonts w:asciiTheme="minorHAnsi" w:hAnsiTheme="minorHAnsi" w:cstheme="minorHAnsi"/>
          <w:b w:val="0"/>
          <w:szCs w:val="20"/>
        </w:rPr>
        <w:t xml:space="preserve"> illustrant le mécanisme mis en place</w:t>
      </w:r>
    </w:p>
    <w:p w:rsidR="006122EF" w:rsidRPr="006122EF" w:rsidRDefault="006122EF" w:rsidP="00AA1F7C">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Le prospectus précise si le déclenchement de l'application des règles de plafonnement des ordres de rachat est automatique (uniquement pour les fonds de fonds alternatifs et les fonds professionnels à vocation générale), ou si la société de gestion se réserve la possibilité de ne pas déclencher ce mécanisme (cas général).</w:t>
      </w:r>
    </w:p>
    <w:p w:rsidR="004375E3" w:rsidRDefault="004375E3" w:rsidP="00C07571">
      <w:pPr>
        <w:pStyle w:val="AMFDate"/>
        <w:ind w:left="0"/>
        <w:jc w:val="both"/>
        <w:rPr>
          <w:rFonts w:asciiTheme="minorHAnsi" w:hAnsiTheme="minorHAnsi" w:cstheme="minorHAnsi"/>
          <w:b w:val="0"/>
          <w:szCs w:val="20"/>
        </w:rPr>
      </w:pPr>
    </w:p>
    <w:p w:rsidR="00EA0A25" w:rsidRP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 xml:space="preserve">our un FIA dont l’objectif de gestion est fondé sur un indice et dont les parts ou actions sont admises aux négociations sur un marché réglementé : </w:t>
      </w:r>
    </w:p>
    <w:p w:rsidR="00EA0A25" w:rsidRP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C</w:t>
      </w:r>
      <w:r w:rsidRPr="00EA0A25">
        <w:rPr>
          <w:rFonts w:asciiTheme="minorHAnsi" w:hAnsiTheme="minorHAnsi" w:cstheme="minorHAnsi"/>
          <w:b w:val="0"/>
          <w:szCs w:val="20"/>
        </w:rPr>
        <w:t>onditions de souscriptions et de rachat du fonds sur le marché primaire</w:t>
      </w:r>
      <w:r>
        <w:rPr>
          <w:rFonts w:asciiTheme="minorHAnsi" w:hAnsiTheme="minorHAnsi" w:cstheme="minorHAnsi"/>
          <w:b w:val="0"/>
          <w:szCs w:val="20"/>
        </w:rPr>
        <w:t> ;</w:t>
      </w:r>
      <w:r w:rsidRPr="00EA0A25">
        <w:rPr>
          <w:rFonts w:asciiTheme="minorHAnsi" w:hAnsiTheme="minorHAnsi" w:cstheme="minorHAnsi"/>
          <w:b w:val="0"/>
          <w:szCs w:val="20"/>
        </w:rPr>
        <w:t xml:space="preserve"> </w:t>
      </w:r>
    </w:p>
    <w:p w:rsid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A</w:t>
      </w:r>
      <w:r w:rsidRPr="00EA0A25">
        <w:rPr>
          <w:rFonts w:asciiTheme="minorHAnsi" w:hAnsiTheme="minorHAnsi" w:cstheme="minorHAnsi"/>
          <w:b w:val="0"/>
          <w:szCs w:val="20"/>
        </w:rPr>
        <w:t>dmission et négociation des parts du fonds sur le marché secondaire</w:t>
      </w:r>
      <w:r>
        <w:rPr>
          <w:rFonts w:asciiTheme="minorHAnsi" w:hAnsiTheme="minorHAnsi" w:cstheme="minorHAnsi"/>
          <w:b w:val="0"/>
          <w:szCs w:val="20"/>
        </w:rPr>
        <w:t>.</w:t>
      </w:r>
      <w:r w:rsidRPr="00EA0A25">
        <w:rPr>
          <w:rFonts w:asciiTheme="minorHAnsi" w:hAnsiTheme="minorHAnsi" w:cstheme="minorHAnsi"/>
          <w:b w:val="0"/>
          <w:szCs w:val="20"/>
        </w:rPr>
        <w:t xml:space="preserve"> </w:t>
      </w:r>
    </w:p>
    <w:p w:rsidR="00EA0A25" w:rsidRPr="00EA0A25" w:rsidRDefault="00EA0A25" w:rsidP="00EA0A25">
      <w:pPr>
        <w:pStyle w:val="AMFDate"/>
        <w:ind w:left="0"/>
        <w:jc w:val="both"/>
        <w:rPr>
          <w:rFonts w:asciiTheme="minorHAnsi" w:hAnsiTheme="minorHAnsi" w:cstheme="minorHAnsi"/>
          <w:b w:val="0"/>
          <w:szCs w:val="20"/>
        </w:rPr>
      </w:pPr>
    </w:p>
    <w:p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réglementé, modalités de calcul et de diffusion de la valeur liquidative indicative</w:t>
      </w:r>
    </w:p>
    <w:p w:rsidR="00EA0A25" w:rsidRPr="00EA0A25" w:rsidRDefault="00EA0A25" w:rsidP="00EA0A25">
      <w:pPr>
        <w:pStyle w:val="AMFDate"/>
        <w:ind w:left="0"/>
        <w:jc w:val="both"/>
        <w:rPr>
          <w:rFonts w:asciiTheme="minorHAnsi" w:hAnsiTheme="minorHAnsi" w:cstheme="minorHAnsi"/>
          <w:b w:val="0"/>
          <w:szCs w:val="20"/>
        </w:rPr>
      </w:pPr>
    </w:p>
    <w:p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règlementé, précisions sur les établissements financiers « </w:t>
      </w:r>
      <w:r>
        <w:rPr>
          <w:rFonts w:asciiTheme="minorHAnsi" w:hAnsiTheme="minorHAnsi" w:cstheme="minorHAnsi"/>
          <w:b w:val="0"/>
          <w:szCs w:val="20"/>
        </w:rPr>
        <w:t>Teneurs de marché »</w:t>
      </w:r>
    </w:p>
    <w:p w:rsidR="00EA0A25" w:rsidRPr="00EA0A25" w:rsidRDefault="00EA0A25" w:rsidP="00EA0A25">
      <w:pPr>
        <w:pStyle w:val="AMFDate"/>
        <w:ind w:left="0"/>
        <w:jc w:val="both"/>
        <w:rPr>
          <w:rFonts w:asciiTheme="minorHAnsi" w:hAnsiTheme="minorHAnsi" w:cstheme="minorHAnsi"/>
          <w:b w:val="0"/>
          <w:szCs w:val="20"/>
        </w:rPr>
      </w:pPr>
    </w:p>
    <w:p w:rsidR="00EA0A25" w:rsidRPr="00EA0A25" w:rsidRDefault="00EA0A25" w:rsidP="00EA0A25">
      <w:pPr>
        <w:pStyle w:val="AMFDate"/>
        <w:numPr>
          <w:ilvl w:val="0"/>
          <w:numId w:val="27"/>
        </w:numPr>
        <w:jc w:val="both"/>
        <w:rPr>
          <w:rFonts w:asciiTheme="minorHAnsi" w:hAnsiTheme="minorHAnsi" w:cstheme="minorHAnsi"/>
          <w:b w:val="0"/>
          <w:szCs w:val="20"/>
        </w:rPr>
      </w:pPr>
      <w:r w:rsidRPr="00EA0A25">
        <w:rPr>
          <w:rFonts w:asciiTheme="minorHAnsi" w:hAnsiTheme="minorHAnsi" w:cstheme="minorHAnsi"/>
          <w:b w:val="0"/>
          <w:szCs w:val="20"/>
        </w:rPr>
        <w:t>Une description de la gestion du risque de liquidité du FIA, y compris les droits au remboursement dans des circonstances à la fois normales et exceptionnelles, et les modalités existantes avec les investisseurs en matière de rembou</w:t>
      </w:r>
      <w:r>
        <w:rPr>
          <w:rFonts w:asciiTheme="minorHAnsi" w:hAnsiTheme="minorHAnsi" w:cstheme="minorHAnsi"/>
          <w:b w:val="0"/>
          <w:szCs w:val="20"/>
        </w:rPr>
        <w:t>rsement ;</w:t>
      </w:r>
    </w:p>
    <w:p w:rsidR="00EA0A25" w:rsidRDefault="00EA0A25" w:rsidP="00C07571">
      <w:pPr>
        <w:pStyle w:val="AMFDate"/>
        <w:ind w:left="0"/>
        <w:jc w:val="both"/>
        <w:rPr>
          <w:rFonts w:asciiTheme="minorHAnsi" w:hAnsiTheme="minorHAnsi" w:cstheme="minorHAnsi"/>
          <w:b w:val="0"/>
          <w:szCs w:val="20"/>
        </w:rPr>
      </w:pPr>
    </w:p>
    <w:p w:rsidR="004375E3" w:rsidRPr="00C07571" w:rsidRDefault="0057103B" w:rsidP="0057103B">
      <w:pPr>
        <w:pStyle w:val="AMFDate"/>
        <w:numPr>
          <w:ilvl w:val="2"/>
          <w:numId w:val="6"/>
        </w:numPr>
        <w:jc w:val="both"/>
        <w:rPr>
          <w:rFonts w:asciiTheme="minorHAnsi" w:hAnsiTheme="minorHAnsi" w:cstheme="minorHAnsi"/>
          <w:b w:val="0"/>
          <w:szCs w:val="20"/>
        </w:rPr>
      </w:pPr>
      <w:r w:rsidRPr="0057103B">
        <w:rPr>
          <w:rFonts w:asciiTheme="minorHAnsi" w:hAnsiTheme="minorHAnsi" w:cstheme="minorHAnsi"/>
          <w:b w:val="0"/>
          <w:szCs w:val="20"/>
        </w:rPr>
        <w:t>Frais et commissions</w:t>
      </w:r>
    </w:p>
    <w:p w:rsidR="002D1E4A" w:rsidRDefault="002D1E4A" w:rsidP="002D1E4A">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2D1E4A">
        <w:rPr>
          <w:rFonts w:asciiTheme="minorHAnsi" w:hAnsiTheme="minorHAnsi" w:cstheme="minorHAnsi"/>
          <w:b w:val="0"/>
          <w:szCs w:val="20"/>
        </w:rPr>
        <w:t xml:space="preserve"> décliner par caté</w:t>
      </w:r>
      <w:r>
        <w:rPr>
          <w:rFonts w:asciiTheme="minorHAnsi" w:hAnsiTheme="minorHAnsi" w:cstheme="minorHAnsi"/>
          <w:b w:val="0"/>
          <w:szCs w:val="20"/>
        </w:rPr>
        <w:t>gorie de parts, le cas échéant)</w:t>
      </w:r>
    </w:p>
    <w:p w:rsidR="002D1E4A" w:rsidRPr="002D1E4A" w:rsidRDefault="002D1E4A" w:rsidP="002D1E4A">
      <w:pPr>
        <w:pStyle w:val="AMFDate"/>
        <w:ind w:left="0"/>
        <w:jc w:val="both"/>
        <w:rPr>
          <w:rFonts w:asciiTheme="minorHAnsi" w:hAnsiTheme="minorHAnsi" w:cstheme="minorHAnsi"/>
          <w:b w:val="0"/>
          <w:szCs w:val="20"/>
        </w:rPr>
      </w:pPr>
    </w:p>
    <w:p w:rsidR="002D1E4A" w:rsidRPr="002D1E4A" w:rsidRDefault="002D1E4A" w:rsidP="002D1E4A">
      <w:pPr>
        <w:pStyle w:val="AMFDate"/>
        <w:ind w:left="0"/>
        <w:jc w:val="both"/>
        <w:rPr>
          <w:rFonts w:asciiTheme="minorHAnsi" w:hAnsiTheme="minorHAnsi" w:cstheme="minorHAnsi"/>
          <w:b w:val="0"/>
          <w:szCs w:val="20"/>
        </w:rPr>
      </w:pPr>
      <w:r w:rsidRPr="002D1E4A">
        <w:rPr>
          <w:rFonts w:asciiTheme="minorHAnsi" w:hAnsiTheme="minorHAnsi" w:cstheme="minorHAnsi"/>
          <w:b w:val="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2D1E4A" w:rsidRDefault="002D1E4A" w:rsidP="002D1E4A">
      <w:pPr>
        <w:pStyle w:val="AMFDate"/>
        <w:ind w:left="0"/>
        <w:jc w:val="both"/>
        <w:rPr>
          <w:rFonts w:asciiTheme="minorHAnsi" w:hAnsiTheme="minorHAnsi" w:cstheme="minorHAnsi"/>
          <w:b w:val="0"/>
          <w:szCs w:val="20"/>
        </w:rPr>
      </w:pPr>
    </w:p>
    <w:p w:rsidR="003C05E0" w:rsidRPr="002D1E4A" w:rsidRDefault="003C05E0" w:rsidP="003C05E0">
      <w:pPr>
        <w:pStyle w:val="AMFDate"/>
        <w:numPr>
          <w:ilvl w:val="0"/>
          <w:numId w:val="29"/>
        </w:numPr>
        <w:jc w:val="both"/>
        <w:rPr>
          <w:rFonts w:asciiTheme="minorHAnsi" w:hAnsiTheme="minorHAnsi" w:cstheme="minorHAnsi"/>
          <w:b w:val="0"/>
          <w:szCs w:val="20"/>
        </w:rPr>
      </w:pPr>
      <w:r w:rsidRPr="003C05E0">
        <w:rPr>
          <w:rFonts w:asciiTheme="minorHAnsi" w:hAnsiTheme="minorHAnsi" w:cstheme="minorHAnsi"/>
          <w:b w:val="0"/>
          <w:szCs w:val="20"/>
        </w:rPr>
        <w:t xml:space="preserve">Les commissions de souscription et de rachat viennent augmenter le prix de souscription payé par l’investisseur ou diminuer le prix de remboursement. Les commissions acquises au FIA servent à compenser les frais supportés par le FIA pour investir ou désinvestir les avoirs confiés. Les commissions non acquises reviennent à la société de gestion, au </w:t>
      </w:r>
      <w:proofErr w:type="spellStart"/>
      <w:r w:rsidRPr="003C05E0">
        <w:rPr>
          <w:rFonts w:asciiTheme="minorHAnsi" w:hAnsiTheme="minorHAnsi" w:cstheme="minorHAnsi"/>
          <w:b w:val="0"/>
          <w:szCs w:val="20"/>
        </w:rPr>
        <w:t>commercialisateur</w:t>
      </w:r>
      <w:proofErr w:type="spellEnd"/>
      <w:r w:rsidRPr="003C05E0">
        <w:rPr>
          <w:rFonts w:asciiTheme="minorHAnsi" w:hAnsiTheme="minorHAnsi" w:cstheme="minorHAnsi"/>
          <w:b w:val="0"/>
          <w:szCs w:val="20"/>
        </w:rPr>
        <w:t>, etc.</w:t>
      </w:r>
    </w:p>
    <w:p w:rsidR="008C3995" w:rsidRDefault="008C3995" w:rsidP="008C3995">
      <w:pPr>
        <w:pStyle w:val="AMFDate"/>
        <w:ind w:left="0"/>
        <w:jc w:val="both"/>
        <w:rPr>
          <w:rFonts w:asciiTheme="minorHAnsi" w:hAnsiTheme="minorHAnsi" w:cstheme="minorHAnsi"/>
          <w:b w:val="0"/>
          <w:szCs w:val="20"/>
        </w:rPr>
      </w:pPr>
    </w:p>
    <w:p w:rsidR="008C3995" w:rsidRDefault="005D705B" w:rsidP="008C3995">
      <w:pPr>
        <w:pStyle w:val="AMFDate"/>
        <w:ind w:left="0"/>
        <w:jc w:val="both"/>
        <w:rPr>
          <w:rFonts w:asciiTheme="minorHAnsi" w:hAnsiTheme="minorHAnsi" w:cstheme="minorHAnsi"/>
          <w:b w:val="0"/>
          <w:szCs w:val="20"/>
        </w:rPr>
      </w:pPr>
      <w:r w:rsidRPr="005D705B">
        <w:rPr>
          <w:rFonts w:asciiTheme="minorHAnsi" w:hAnsiTheme="minorHAnsi" w:cstheme="minorHAnsi"/>
          <w:b w:val="0"/>
          <w:szCs w:val="20"/>
        </w:rPr>
        <w:t>Ces éléments doivent être présentés sous la forme d’un tableau :</w:t>
      </w:r>
    </w:p>
    <w:p w:rsidR="008C3995" w:rsidRDefault="008C3995" w:rsidP="008C3995">
      <w:pPr>
        <w:pStyle w:val="AMFDate"/>
        <w:ind w:left="0"/>
        <w:jc w:val="both"/>
        <w:rPr>
          <w:rFonts w:asciiTheme="minorHAnsi" w:hAnsiTheme="minorHAnsi" w:cstheme="minorHAnsi"/>
          <w:b w:val="0"/>
          <w:szCs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E851F0" w:rsidRPr="00E851F0" w:rsidTr="00534BCB">
        <w:tc>
          <w:tcPr>
            <w:tcW w:w="4252" w:type="dxa"/>
            <w:shd w:val="clear" w:color="auto" w:fill="auto"/>
          </w:tcPr>
          <w:p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Frais à la charge de l’investisseur, prélevés lors des souscriptions et des rachats </w:t>
            </w:r>
          </w:p>
        </w:tc>
        <w:tc>
          <w:tcPr>
            <w:tcW w:w="2126" w:type="dxa"/>
            <w:shd w:val="clear" w:color="auto" w:fill="auto"/>
          </w:tcPr>
          <w:p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          Assiette</w:t>
            </w:r>
          </w:p>
        </w:tc>
        <w:tc>
          <w:tcPr>
            <w:tcW w:w="1560" w:type="dxa"/>
            <w:shd w:val="clear" w:color="auto" w:fill="auto"/>
          </w:tcPr>
          <w:p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Taux barème</w:t>
            </w:r>
          </w:p>
        </w:tc>
      </w:tr>
      <w:tr w:rsidR="00E851F0" w:rsidRPr="00E851F0" w:rsidTr="00534BCB">
        <w:trPr>
          <w:trHeight w:val="581"/>
        </w:trPr>
        <w:tc>
          <w:tcPr>
            <w:tcW w:w="4252"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non acquise au FIA</w:t>
            </w:r>
          </w:p>
        </w:tc>
        <w:tc>
          <w:tcPr>
            <w:tcW w:w="2126"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lastRenderedPageBreak/>
              <w:t>Nombre de parts/actions</w:t>
            </w:r>
          </w:p>
        </w:tc>
        <w:tc>
          <w:tcPr>
            <w:tcW w:w="1560"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lastRenderedPageBreak/>
              <w:t xml:space="preserve">A %, A% maximum, ou modalité </w:t>
            </w:r>
            <w:r w:rsidRPr="00E851F0">
              <w:rPr>
                <w:rFonts w:asciiTheme="minorHAnsi" w:hAnsiTheme="minorHAnsi" w:cstheme="minorHAnsi"/>
                <w:b w:val="0"/>
                <w:szCs w:val="20"/>
              </w:rPr>
              <w:lastRenderedPageBreak/>
              <w:t xml:space="preserve">particulière (fourchette, etc.) </w:t>
            </w:r>
          </w:p>
        </w:tc>
      </w:tr>
      <w:tr w:rsidR="00E851F0" w:rsidRPr="00E851F0" w:rsidTr="00534BCB">
        <w:trPr>
          <w:trHeight w:val="703"/>
        </w:trPr>
        <w:tc>
          <w:tcPr>
            <w:tcW w:w="4252"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lastRenderedPageBreak/>
              <w:t>Commission de souscription acquise au FIA</w:t>
            </w:r>
          </w:p>
        </w:tc>
        <w:tc>
          <w:tcPr>
            <w:tcW w:w="2126"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1560" w:type="dxa"/>
            <w:shd w:val="clear" w:color="auto" w:fill="auto"/>
          </w:tcPr>
          <w:p w:rsidR="00E851F0" w:rsidRPr="00E851F0" w:rsidRDefault="00E851F0" w:rsidP="00E851F0">
            <w:pPr>
              <w:pStyle w:val="AMFDate"/>
              <w:rPr>
                <w:rFonts w:asciiTheme="minorHAnsi" w:hAnsiTheme="minorHAnsi" w:cstheme="minorHAnsi"/>
                <w:b w:val="0"/>
                <w:szCs w:val="20"/>
              </w:rPr>
            </w:pP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B %, ou selon modalités particulières</w:t>
            </w:r>
            <w:r w:rsidRPr="00E851F0">
              <w:rPr>
                <w:rFonts w:asciiTheme="minorHAnsi" w:hAnsiTheme="minorHAnsi" w:cstheme="minorHAnsi"/>
                <w:b w:val="0"/>
                <w:szCs w:val="20"/>
                <w:vertAlign w:val="superscript"/>
              </w:rPr>
              <w:footnoteReference w:id="15"/>
            </w:r>
            <w:r w:rsidRPr="00E851F0">
              <w:rPr>
                <w:rFonts w:asciiTheme="minorHAnsi" w:hAnsiTheme="minorHAnsi" w:cstheme="minorHAnsi"/>
                <w:b w:val="0"/>
                <w:szCs w:val="20"/>
              </w:rPr>
              <w:t xml:space="preserve"> (applicables à l’ensemble des souscriptions)</w:t>
            </w:r>
          </w:p>
        </w:tc>
      </w:tr>
      <w:tr w:rsidR="00E851F0" w:rsidRPr="00E851F0" w:rsidTr="00534BCB">
        <w:trPr>
          <w:trHeight w:val="605"/>
        </w:trPr>
        <w:tc>
          <w:tcPr>
            <w:tcW w:w="4252"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non acquise au FIA</w:t>
            </w:r>
          </w:p>
        </w:tc>
        <w:tc>
          <w:tcPr>
            <w:tcW w:w="2126"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1560"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 %, C % maximum, ou modalité particulière (fourchette, etc.)</w:t>
            </w:r>
          </w:p>
        </w:tc>
      </w:tr>
      <w:tr w:rsidR="00E851F0" w:rsidRPr="00E851F0" w:rsidTr="00534BCB">
        <w:trPr>
          <w:trHeight w:val="365"/>
        </w:trPr>
        <w:tc>
          <w:tcPr>
            <w:tcW w:w="4252"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acquise au FIA</w:t>
            </w:r>
          </w:p>
        </w:tc>
        <w:tc>
          <w:tcPr>
            <w:tcW w:w="2126"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1560" w:type="dxa"/>
            <w:shd w:val="clear" w:color="auto" w:fill="auto"/>
          </w:tcPr>
          <w:p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D %, ou selon modalités particulières</w:t>
            </w:r>
            <w:r w:rsidRPr="00E851F0">
              <w:rPr>
                <w:rFonts w:asciiTheme="minorHAnsi" w:hAnsiTheme="minorHAnsi" w:cstheme="minorHAnsi"/>
                <w:b w:val="0"/>
                <w:szCs w:val="20"/>
                <w:vertAlign w:val="superscript"/>
              </w:rPr>
              <w:footnoteReference w:id="16"/>
            </w:r>
            <w:r w:rsidRPr="00E851F0">
              <w:rPr>
                <w:rFonts w:asciiTheme="minorHAnsi" w:hAnsiTheme="minorHAnsi" w:cstheme="minorHAnsi"/>
                <w:b w:val="0"/>
                <w:szCs w:val="20"/>
              </w:rPr>
              <w:t xml:space="preserve"> (applicables à l’ensemble des rachats)</w:t>
            </w:r>
          </w:p>
        </w:tc>
      </w:tr>
    </w:tbl>
    <w:p w:rsidR="008C3995" w:rsidRDefault="008C3995" w:rsidP="008C3995">
      <w:pPr>
        <w:pStyle w:val="AMFDate"/>
        <w:ind w:left="0"/>
        <w:jc w:val="both"/>
        <w:rPr>
          <w:rFonts w:asciiTheme="minorHAnsi" w:hAnsiTheme="minorHAnsi" w:cstheme="minorHAnsi"/>
          <w:b w:val="0"/>
          <w:szCs w:val="20"/>
        </w:rPr>
      </w:pPr>
    </w:p>
    <w:p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de gestion financière ;</w:t>
      </w:r>
    </w:p>
    <w:p w:rsidR="00442C11" w:rsidRPr="00442C11" w:rsidRDefault="00442C11" w:rsidP="00442C11">
      <w:pPr>
        <w:pStyle w:val="AMFDate"/>
        <w:jc w:val="both"/>
        <w:rPr>
          <w:rFonts w:asciiTheme="minorHAnsi" w:hAnsiTheme="minorHAnsi" w:cstheme="minorHAnsi"/>
          <w:b w:val="0"/>
          <w:szCs w:val="20"/>
        </w:rPr>
      </w:pPr>
    </w:p>
    <w:p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administratifs externes à la société de gestion ;</w:t>
      </w:r>
    </w:p>
    <w:p w:rsidR="00442C11" w:rsidRPr="00442C11" w:rsidRDefault="00442C11" w:rsidP="00442C11">
      <w:pPr>
        <w:pStyle w:val="AMFDate"/>
        <w:jc w:val="both"/>
        <w:rPr>
          <w:rFonts w:asciiTheme="minorHAnsi" w:hAnsiTheme="minorHAnsi" w:cstheme="minorHAnsi"/>
          <w:b w:val="0"/>
          <w:szCs w:val="20"/>
        </w:rPr>
      </w:pPr>
    </w:p>
    <w:p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indirects maximum (commissions et frais de gestion). Dans le cas de FIA investissant à plus de 20 % de l’actif net dans des placements collectifs de droit français, des organismes de placement collectif en valeurs mobilières constitués sur le fondement d’un droit étranger, des FIA établis dans un autre Etat membre ou des fonds d’investissement constitués sur le fondement d’un droit étranger, mention du niveau maximal des frais et commissions indirects ;</w:t>
      </w:r>
    </w:p>
    <w:p w:rsidR="00442C11" w:rsidRPr="00442C11" w:rsidRDefault="00442C11" w:rsidP="00442C11">
      <w:pPr>
        <w:pStyle w:val="AMFDate"/>
        <w:jc w:val="both"/>
        <w:rPr>
          <w:rFonts w:asciiTheme="minorHAnsi" w:hAnsiTheme="minorHAnsi" w:cstheme="minorHAnsi"/>
          <w:b w:val="0"/>
          <w:szCs w:val="20"/>
        </w:rPr>
      </w:pPr>
    </w:p>
    <w:p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commissions de mouvement. Le barème des commissions de mouvement devant figurer dans le prospectus devra préciser notamment :</w:t>
      </w:r>
    </w:p>
    <w:p w:rsidR="008C3995" w:rsidRPr="00442C11" w:rsidRDefault="008C3995" w:rsidP="00442C11">
      <w:pPr>
        <w:pStyle w:val="AMFDate"/>
        <w:ind w:left="0"/>
        <w:jc w:val="both"/>
        <w:rPr>
          <w:rFonts w:asciiTheme="minorHAnsi" w:hAnsiTheme="minorHAnsi" w:cstheme="minorHAnsi"/>
          <w:b w:val="0"/>
          <w:szCs w:val="20"/>
        </w:rPr>
      </w:pPr>
    </w:p>
    <w:p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 xml:space="preserve">Les assiettes retenues sur : </w:t>
      </w:r>
    </w:p>
    <w:p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transactions ;</w:t>
      </w:r>
    </w:p>
    <w:p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opérations sur titres ;</w:t>
      </w:r>
    </w:p>
    <w:p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autres opérations ;</w:t>
      </w:r>
    </w:p>
    <w:p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taux ou montants applicables à ces différentes assiettes (par mesure de simplification, les FIA ont la possibilité de mentionner un taux maximum, pour l’ensemble des instruments) ;</w:t>
      </w:r>
    </w:p>
    <w:p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clés de répartition entre les différents acteurs.</w:t>
      </w:r>
    </w:p>
    <w:p w:rsidR="00CB45D7" w:rsidRDefault="00CB45D7" w:rsidP="00CB45D7">
      <w:pPr>
        <w:pStyle w:val="AMFDate"/>
        <w:ind w:left="0"/>
        <w:jc w:val="both"/>
        <w:rPr>
          <w:rFonts w:asciiTheme="minorHAnsi" w:hAnsiTheme="minorHAnsi" w:cstheme="minorHAnsi"/>
          <w:b w:val="0"/>
          <w:szCs w:val="20"/>
        </w:rPr>
      </w:pPr>
    </w:p>
    <w:p w:rsid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lastRenderedPageBreak/>
        <w:t>Il doit en outre comporter une description succincte de la procédure de choix des intermédiaires et des commentaires éventuels.</w:t>
      </w:r>
    </w:p>
    <w:p w:rsidR="00CB45D7" w:rsidRPr="00CB45D7" w:rsidRDefault="00CB45D7" w:rsidP="00CB45D7">
      <w:pPr>
        <w:pStyle w:val="AMFDate"/>
        <w:ind w:left="0"/>
        <w:jc w:val="both"/>
        <w:rPr>
          <w:rFonts w:asciiTheme="minorHAnsi" w:hAnsiTheme="minorHAnsi" w:cstheme="minorHAnsi"/>
          <w:b w:val="0"/>
          <w:szCs w:val="20"/>
        </w:rPr>
      </w:pPr>
    </w:p>
    <w:p w:rsidR="00CB45D7" w:rsidRP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FIA.</w:t>
      </w:r>
    </w:p>
    <w:p w:rsidR="008C3995" w:rsidRDefault="008C3995" w:rsidP="008C3995">
      <w:pPr>
        <w:pStyle w:val="AMFDate"/>
        <w:ind w:left="0"/>
        <w:jc w:val="both"/>
        <w:rPr>
          <w:rFonts w:asciiTheme="minorHAnsi" w:hAnsiTheme="minorHAnsi" w:cstheme="minorHAnsi"/>
          <w:b w:val="0"/>
          <w:szCs w:val="20"/>
        </w:rPr>
      </w:pPr>
    </w:p>
    <w:p w:rsidR="00C821DE" w:rsidRPr="00C821DE" w:rsidRDefault="00C821DE" w:rsidP="00C821DE">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C821DE">
        <w:rPr>
          <w:rFonts w:asciiTheme="minorHAnsi" w:hAnsiTheme="minorHAnsi" w:cstheme="minorHAnsi"/>
          <w:b w:val="0"/>
          <w:szCs w:val="20"/>
        </w:rPr>
        <w:t>a commission de surperformance</w:t>
      </w:r>
    </w:p>
    <w:p w:rsidR="008C3995" w:rsidRDefault="008C3995" w:rsidP="008C3995">
      <w:pPr>
        <w:pStyle w:val="AMFDate"/>
        <w:ind w:left="0"/>
        <w:jc w:val="both"/>
        <w:rPr>
          <w:rFonts w:asciiTheme="minorHAnsi" w:hAnsiTheme="minorHAnsi" w:cstheme="minorHAnsi"/>
          <w:b w:val="0"/>
          <w:szCs w:val="20"/>
        </w:rPr>
      </w:pPr>
    </w:p>
    <w:p w:rsidR="008C3995" w:rsidRDefault="004C5A15" w:rsidP="008C3995">
      <w:pPr>
        <w:pStyle w:val="AMFDate"/>
        <w:ind w:left="0"/>
        <w:jc w:val="both"/>
        <w:rPr>
          <w:rFonts w:asciiTheme="minorHAnsi" w:hAnsiTheme="minorHAnsi" w:cstheme="minorHAnsi"/>
          <w:b w:val="0"/>
          <w:szCs w:val="20"/>
        </w:rPr>
      </w:pPr>
      <w:r w:rsidRPr="004C5A15">
        <w:rPr>
          <w:rFonts w:asciiTheme="minorHAnsi" w:hAnsiTheme="minorHAnsi" w:cstheme="minorHAnsi"/>
          <w:b w:val="0"/>
          <w:szCs w:val="20"/>
        </w:rPr>
        <w:t>Ces éléments doivent être présentés sous la forme d’un tableau :</w:t>
      </w:r>
    </w:p>
    <w:p w:rsidR="00CE7EB5" w:rsidRDefault="00CE7EB5" w:rsidP="008C3995">
      <w:pPr>
        <w:pStyle w:val="AMFDate"/>
        <w:ind w:left="0"/>
        <w:jc w:val="both"/>
        <w:rPr>
          <w:rFonts w:asciiTheme="minorHAnsi" w:hAnsiTheme="minorHAnsi" w:cstheme="minorHAnsi"/>
          <w:b w:val="0"/>
          <w:szCs w:val="20"/>
        </w:rPr>
      </w:pPr>
    </w:p>
    <w:tbl>
      <w:tblPr>
        <w:tblW w:w="8472" w:type="dxa"/>
        <w:tblInd w:w="5" w:type="dxa"/>
        <w:tblLayout w:type="fixed"/>
        <w:tblLook w:val="0000" w:firstRow="0" w:lastRow="0" w:firstColumn="0" w:lastColumn="0" w:noHBand="0" w:noVBand="0"/>
      </w:tblPr>
      <w:tblGrid>
        <w:gridCol w:w="534"/>
        <w:gridCol w:w="4252"/>
        <w:gridCol w:w="2126"/>
        <w:gridCol w:w="1560"/>
      </w:tblGrid>
      <w:tr w:rsidR="00235A0F" w:rsidRPr="00235A0F" w:rsidTr="00534BCB">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b/>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Frais facturés 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Taux barème</w:t>
            </w:r>
          </w:p>
        </w:tc>
      </w:tr>
      <w:tr w:rsidR="00235A0F" w:rsidRPr="00235A0F" w:rsidTr="00534BCB">
        <w:trPr>
          <w:cantSplit/>
          <w:trHeight w:val="57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de gestion financière</w:t>
            </w:r>
            <w:r w:rsidRPr="00235A0F">
              <w:rPr>
                <w:rFonts w:asciiTheme="minorHAnsi" w:eastAsia="Times" w:hAnsiTheme="minorHAnsi"/>
                <w:sz w:val="20"/>
                <w:szCs w:val="20"/>
                <w:vertAlign w:val="superscript"/>
              </w:rPr>
              <w:footnoteReference w:id="17"/>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rsidTr="00534BCB">
        <w:trPr>
          <w:cantSplit/>
          <w:trHeight w:val="68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2</w:t>
            </w:r>
          </w:p>
          <w:p w:rsidR="00235A0F" w:rsidRPr="00235A0F" w:rsidRDefault="00235A0F" w:rsidP="00235A0F">
            <w:pPr>
              <w:spacing w:line="240" w:lineRule="atLeast"/>
              <w:jc w:val="both"/>
              <w:rPr>
                <w:rFonts w:asciiTheme="minorHAnsi" w:eastAsia="Times" w:hAnsiTheme="minorHAnsi"/>
                <w:sz w:val="20"/>
                <w:szCs w:val="20"/>
              </w:rPr>
            </w:pPr>
          </w:p>
          <w:p w:rsidR="00235A0F" w:rsidRPr="00235A0F" w:rsidRDefault="00235A0F" w:rsidP="00235A0F">
            <w:pPr>
              <w:spacing w:line="240" w:lineRule="atLeast"/>
              <w:jc w:val="both"/>
              <w:rPr>
                <w:rFonts w:asciiTheme="minorHAnsi" w:eastAsia="Times" w:hAnsi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cs="Arial"/>
                <w:sz w:val="20"/>
                <w:szCs w:val="20"/>
              </w:rPr>
              <w:t>Frais administratifs externes à la société de gestion</w:t>
            </w:r>
            <w:r w:rsidRPr="00235A0F">
              <w:rPr>
                <w:rFonts w:asciiTheme="minorHAnsi" w:eastAsia="Times" w:hAnsiTheme="minorHAnsi"/>
                <w:sz w:val="20"/>
                <w:szCs w:val="20"/>
                <w:vertAlign w:val="superscript"/>
              </w:rPr>
              <w:footnoteReference w:id="18"/>
            </w:r>
            <w:r w:rsidRPr="00235A0F">
              <w:rPr>
                <w:rFonts w:asciiTheme="minorHAnsi" w:eastAsia="Times" w:hAnsiTheme="minorHAns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rsidTr="00534BCB">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p w:rsidR="00235A0F" w:rsidRPr="00235A0F" w:rsidRDefault="00235A0F" w:rsidP="00235A0F">
            <w:pPr>
              <w:spacing w:line="240" w:lineRule="atLeast"/>
              <w:jc w:val="both"/>
              <w:rPr>
                <w:rFonts w:asciiTheme="minorHAnsi" w:eastAsia="Times" w:hAnsiTheme="minorHAnsi"/>
                <w:sz w:val="20"/>
                <w:szCs w:val="20"/>
              </w:rPr>
            </w:pPr>
          </w:p>
        </w:tc>
      </w:tr>
      <w:tr w:rsidR="00235A0F" w:rsidRPr="00235A0F" w:rsidTr="00534BCB">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Barème :</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H % sur les actions</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I % sur les obligations</w:t>
            </w:r>
          </w:p>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Etc. </w:t>
            </w:r>
          </w:p>
        </w:tc>
      </w:tr>
      <w:tr w:rsidR="00235A0F" w:rsidRPr="00235A0F" w:rsidTr="00534BCB">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F % de la performance au-delà de G (TTC) </w:t>
            </w:r>
            <w:r w:rsidRPr="00235A0F">
              <w:rPr>
                <w:rFonts w:asciiTheme="minorHAnsi" w:eastAsia="Times" w:hAnsiTheme="minorHAnsi" w:cs="Arial"/>
                <w:sz w:val="20"/>
                <w:szCs w:val="20"/>
              </w:rPr>
              <w:t>(*)</w:t>
            </w:r>
          </w:p>
        </w:tc>
      </w:tr>
    </w:tbl>
    <w:p w:rsidR="004C5A15" w:rsidRPr="00CE7EB5" w:rsidRDefault="00CE7EB5" w:rsidP="008C3995">
      <w:pPr>
        <w:pStyle w:val="AMFDate"/>
        <w:ind w:left="0"/>
        <w:jc w:val="both"/>
        <w:rPr>
          <w:rFonts w:asciiTheme="minorHAnsi" w:hAnsiTheme="minorHAnsi" w:cstheme="minorHAnsi"/>
          <w:b w:val="0"/>
          <w:szCs w:val="20"/>
          <w:vertAlign w:val="superscript"/>
        </w:rPr>
      </w:pPr>
      <w:r w:rsidRPr="00CE7EB5">
        <w:rPr>
          <w:rFonts w:asciiTheme="minorHAnsi" w:hAnsiTheme="minorHAnsi" w:cstheme="minorHAnsi"/>
          <w:b w:val="0"/>
          <w:szCs w:val="20"/>
          <w:vertAlign w:val="superscript"/>
        </w:rPr>
        <w:t>(*) Le cas échéant, un taux maximum peut être indiqué, en plus du taux effectif.</w:t>
      </w:r>
    </w:p>
    <w:p w:rsidR="00CE7EB5" w:rsidRDefault="00CE7EB5" w:rsidP="008C3995">
      <w:pPr>
        <w:pStyle w:val="AMFDate"/>
        <w:ind w:left="0"/>
        <w:jc w:val="both"/>
        <w:rPr>
          <w:rFonts w:asciiTheme="minorHAnsi" w:hAnsiTheme="minorHAnsi" w:cstheme="minorHAnsi"/>
          <w:b w:val="0"/>
          <w:szCs w:val="20"/>
        </w:rPr>
      </w:pPr>
    </w:p>
    <w:p w:rsidR="00390ED7" w:rsidRPr="00390ED7" w:rsidRDefault="00390ED7" w:rsidP="00390ED7">
      <w:pPr>
        <w:pStyle w:val="AMFDate"/>
        <w:ind w:left="0"/>
        <w:jc w:val="both"/>
        <w:rPr>
          <w:rFonts w:asciiTheme="minorHAnsi" w:hAnsiTheme="minorHAnsi" w:cstheme="minorHAnsi"/>
          <w:b w:val="0"/>
          <w:i/>
          <w:iCs/>
          <w:szCs w:val="20"/>
        </w:rPr>
      </w:pPr>
      <w:r w:rsidRPr="00390ED7">
        <w:rPr>
          <w:rFonts w:asciiTheme="minorHAnsi" w:hAnsiTheme="minorHAnsi" w:cstheme="minorHAnsi"/>
          <w:b w:val="0"/>
          <w:i/>
          <w:szCs w:val="20"/>
        </w:rPr>
        <w:t xml:space="preserve">Seuls </w:t>
      </w:r>
      <w:r w:rsidRPr="00390ED7">
        <w:rPr>
          <w:rFonts w:asciiTheme="minorHAnsi" w:hAnsiTheme="minorHAnsi" w:cstheme="minorHAnsi"/>
          <w:b w:val="0"/>
          <w:i/>
          <w:iCs/>
          <w:szCs w:val="20"/>
        </w:rPr>
        <w:t xml:space="preserve">les frais mentionnés ci-dessous peuvent être hors champ des 5 blocs de frais évoqués ci-dessus et doivent dans ce cas être mentionnés ci-après : </w:t>
      </w:r>
    </w:p>
    <w:p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 xml:space="preserve">es contributions dues pour la gestion du FIA en application du 4° du II de l’article L. 621-5-3 du code monétaire et financier ; </w:t>
      </w:r>
    </w:p>
    <w:p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es impôts, taxes, redevances et droits gouvernementaux (en relation avec le FIA) exceptionnels et non récurrents ;</w:t>
      </w:r>
    </w:p>
    <w:p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szCs w:val="20"/>
        </w:rPr>
        <w:t>L</w:t>
      </w:r>
      <w:r w:rsidR="00390ED7" w:rsidRPr="00390ED7">
        <w:rPr>
          <w:rFonts w:asciiTheme="minorHAnsi" w:hAnsiTheme="minorHAnsi" w:cstheme="minorHAnsi"/>
          <w:b w:val="0"/>
          <w:i/>
          <w:szCs w:val="20"/>
        </w:rPr>
        <w:t>es coûts exceptionnels et non récurrents en vue d’un r</w:t>
      </w:r>
      <w:r w:rsidR="00B51263">
        <w:rPr>
          <w:rFonts w:asciiTheme="minorHAnsi" w:hAnsiTheme="minorHAnsi" w:cstheme="minorHAnsi"/>
          <w:b w:val="0"/>
          <w:i/>
          <w:szCs w:val="20"/>
        </w:rPr>
        <w:t xml:space="preserve">ecouvrement des créances (ex : </w:t>
      </w:r>
      <w:proofErr w:type="spellStart"/>
      <w:r w:rsidR="00B51263">
        <w:rPr>
          <w:rFonts w:asciiTheme="minorHAnsi" w:hAnsiTheme="minorHAnsi" w:cstheme="minorHAnsi"/>
          <w:b w:val="0"/>
          <w:i/>
          <w:szCs w:val="20"/>
        </w:rPr>
        <w:t>L</w:t>
      </w:r>
      <w:r w:rsidR="00390ED7" w:rsidRPr="00390ED7">
        <w:rPr>
          <w:rFonts w:asciiTheme="minorHAnsi" w:hAnsiTheme="minorHAnsi" w:cstheme="minorHAnsi"/>
          <w:b w:val="0"/>
          <w:i/>
          <w:szCs w:val="20"/>
        </w:rPr>
        <w:t>ehman</w:t>
      </w:r>
      <w:proofErr w:type="spellEnd"/>
      <w:r w:rsidR="00390ED7" w:rsidRPr="00390ED7">
        <w:rPr>
          <w:rFonts w:asciiTheme="minorHAnsi" w:hAnsiTheme="minorHAnsi" w:cstheme="minorHAnsi"/>
          <w:b w:val="0"/>
          <w:i/>
          <w:szCs w:val="20"/>
        </w:rPr>
        <w:t>) ou d’une procédure pour faire valoir un droit (ex : procédure de class action).</w:t>
      </w:r>
    </w:p>
    <w:p w:rsidR="00390ED7" w:rsidRPr="00390ED7" w:rsidRDefault="00390ED7" w:rsidP="00390ED7">
      <w:pPr>
        <w:pStyle w:val="AMFDate"/>
        <w:jc w:val="both"/>
        <w:rPr>
          <w:rFonts w:asciiTheme="minorHAnsi" w:hAnsiTheme="minorHAnsi" w:cstheme="minorHAnsi"/>
          <w:b w:val="0"/>
          <w:i/>
          <w:szCs w:val="20"/>
          <w:u w:val="single"/>
        </w:rPr>
      </w:pPr>
    </w:p>
    <w:p w:rsidR="00390ED7" w:rsidRPr="00390ED7" w:rsidRDefault="00390ED7" w:rsidP="008A202D">
      <w:pPr>
        <w:pStyle w:val="AMFDate"/>
        <w:ind w:left="0"/>
        <w:jc w:val="both"/>
        <w:rPr>
          <w:rFonts w:asciiTheme="minorHAnsi" w:hAnsiTheme="minorHAnsi" w:cstheme="minorHAnsi"/>
          <w:b w:val="0"/>
          <w:i/>
          <w:szCs w:val="20"/>
        </w:rPr>
      </w:pPr>
      <w:r w:rsidRPr="00390ED7">
        <w:rPr>
          <w:rFonts w:asciiTheme="minorHAnsi" w:hAnsiTheme="minorHAnsi" w:cstheme="minorHAnsi"/>
          <w:b w:val="0"/>
          <w:i/>
          <w:szCs w:val="20"/>
        </w:rPr>
        <w:t>L’information relative à ces frais est décrite en outre ex post dans le rapport annuel du FIA.</w:t>
      </w:r>
    </w:p>
    <w:p w:rsidR="00390ED7" w:rsidRPr="00390ED7" w:rsidRDefault="00390ED7" w:rsidP="00390ED7">
      <w:pPr>
        <w:pStyle w:val="AMFDate"/>
        <w:jc w:val="both"/>
        <w:rPr>
          <w:rFonts w:asciiTheme="minorHAnsi" w:hAnsiTheme="minorHAnsi" w:cstheme="minorHAnsi"/>
          <w:b w:val="0"/>
          <w:szCs w:val="20"/>
        </w:rPr>
      </w:pPr>
    </w:p>
    <w:p w:rsidR="00390ED7" w:rsidRPr="00390ED7" w:rsidRDefault="00390ED7" w:rsidP="008A202D">
      <w:pPr>
        <w:pStyle w:val="AMFDate"/>
        <w:ind w:left="0"/>
        <w:jc w:val="both"/>
        <w:rPr>
          <w:rFonts w:asciiTheme="minorHAnsi" w:hAnsiTheme="minorHAnsi" w:cstheme="minorHAnsi"/>
          <w:b w:val="0"/>
          <w:szCs w:val="20"/>
        </w:rPr>
      </w:pPr>
      <w:r w:rsidRPr="00390ED7">
        <w:rPr>
          <w:rFonts w:asciiTheme="minorHAnsi" w:hAnsiTheme="minorHAnsi" w:cstheme="minorHAnsi"/>
          <w:b w:val="0"/>
          <w:szCs w:val="20"/>
        </w:rPr>
        <w:t>Le prospectus des FIA créés à compter du 8 novembre 2016 tient compte des nouvelles terminologies « frais de gestion financière » et « frais administratifs externes à la société de gestion » et de la nouvelle numérotation des blocs de frais. Le prospectus des FIA existants avant le 8 novembre 2016 devra être mis à jour, de sorte à retenir ces nouvelles terminologies, à la prochaine occasion de modification du prospectus et au plus tard le 8 novembre 2017.</w:t>
      </w:r>
    </w:p>
    <w:p w:rsidR="00CE7EB5" w:rsidRDefault="00CE7EB5" w:rsidP="00390ED7">
      <w:pPr>
        <w:pStyle w:val="AMFDate"/>
        <w:ind w:left="0"/>
        <w:jc w:val="both"/>
        <w:rPr>
          <w:rFonts w:asciiTheme="minorHAnsi" w:hAnsiTheme="minorHAnsi" w:cstheme="minorHAnsi"/>
          <w:b w:val="0"/>
          <w:szCs w:val="20"/>
        </w:rPr>
      </w:pPr>
    </w:p>
    <w:p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De façon optionnelle, la société de gestion peut :</w:t>
      </w:r>
    </w:p>
    <w:p w:rsidR="008A202D" w:rsidRPr="008A202D" w:rsidRDefault="008A202D" w:rsidP="008A202D">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lastRenderedPageBreak/>
        <w:t>F</w:t>
      </w:r>
      <w:r w:rsidRPr="008A202D">
        <w:rPr>
          <w:rFonts w:asciiTheme="minorHAnsi" w:hAnsiTheme="minorHAnsi" w:cstheme="minorHAnsi"/>
          <w:b w:val="0"/>
          <w:szCs w:val="20"/>
        </w:rPr>
        <w:t>usionner les frais de gestion financière et les frais administratifs externes à la société de gestion. Dans ce cas, le nom de la rubrique s’intitule « frais de gestion financière et frais administratifs externes à la société de gestion » ;</w:t>
      </w:r>
    </w:p>
    <w:p w:rsidR="008A202D" w:rsidRPr="008A202D" w:rsidRDefault="008A202D" w:rsidP="008A202D">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A</w:t>
      </w:r>
      <w:r w:rsidRPr="008A202D">
        <w:rPr>
          <w:rFonts w:asciiTheme="minorHAnsi" w:hAnsiTheme="minorHAnsi" w:cstheme="minorHAnsi"/>
          <w:b w:val="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rsidR="008A202D" w:rsidRPr="008A202D" w:rsidRDefault="008A202D" w:rsidP="008A202D">
      <w:pPr>
        <w:pStyle w:val="AMFDate"/>
        <w:jc w:val="both"/>
        <w:rPr>
          <w:rFonts w:asciiTheme="minorHAnsi" w:hAnsiTheme="minorHAnsi" w:cstheme="minorHAnsi"/>
          <w:b w:val="0"/>
          <w:szCs w:val="20"/>
        </w:rPr>
      </w:pPr>
    </w:p>
    <w:p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Pour les fonds dédiés, l'affichage d'un montant de frais de gestion financière et de frais administratifs externes à la société de gestion peut être présenté en euros (somme fixe).</w:t>
      </w:r>
    </w:p>
    <w:p w:rsidR="008A202D" w:rsidRPr="008A202D" w:rsidRDefault="008A202D" w:rsidP="008A202D">
      <w:pPr>
        <w:pStyle w:val="AMFDate"/>
        <w:jc w:val="both"/>
        <w:rPr>
          <w:rFonts w:asciiTheme="minorHAnsi" w:hAnsiTheme="minorHAnsi" w:cstheme="minorHAnsi"/>
          <w:b w:val="0"/>
          <w:szCs w:val="20"/>
        </w:rPr>
      </w:pPr>
    </w:p>
    <w:p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Seuls les FIA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du FIA par tout moyen dans les conditions prévues au sein de la rubrique « augmentation des frais » du tableau de l’article 8 de l’instruction DOC-2011-20 (il est rappelé que les FIA monétaires ou monétaires court terme ne peuvent bénéficier de cet aménagement de l’information).</w:t>
      </w:r>
    </w:p>
    <w:p w:rsidR="008A202D" w:rsidRPr="008A202D" w:rsidRDefault="008A202D" w:rsidP="008A202D">
      <w:pPr>
        <w:pStyle w:val="AMFDate"/>
        <w:ind w:left="0"/>
        <w:jc w:val="both"/>
        <w:rPr>
          <w:rFonts w:asciiTheme="minorHAnsi" w:hAnsiTheme="minorHAnsi" w:cstheme="minorHAnsi"/>
          <w:b w:val="0"/>
          <w:szCs w:val="20"/>
        </w:rPr>
      </w:pPr>
    </w:p>
    <w:p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Dans ce cas, le prospectus comprend une mention indiquant clairement que le FIA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au FIA concerné). Il est rappelé que cette information devra, par ailleurs, être publiée en préalable à sa prise d’effet.</w:t>
      </w:r>
    </w:p>
    <w:p w:rsidR="001B7E86" w:rsidRPr="001B7E86" w:rsidRDefault="001B7E86" w:rsidP="001B7E86">
      <w:pPr>
        <w:pStyle w:val="AMFDate"/>
        <w:jc w:val="both"/>
        <w:rPr>
          <w:rFonts w:asciiTheme="minorHAnsi" w:hAnsiTheme="minorHAnsi" w:cstheme="minorHAnsi"/>
          <w:b w:val="0"/>
          <w:szCs w:val="20"/>
        </w:rPr>
      </w:pPr>
    </w:p>
    <w:p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Les FIA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rsidR="001B7E86" w:rsidRPr="001B7E86" w:rsidRDefault="001B7E86" w:rsidP="001B7E86">
      <w:pPr>
        <w:pStyle w:val="AMFDate"/>
        <w:jc w:val="both"/>
        <w:rPr>
          <w:rFonts w:asciiTheme="minorHAnsi" w:hAnsiTheme="minorHAnsi" w:cstheme="minorHAnsi"/>
          <w:b w:val="0"/>
          <w:szCs w:val="20"/>
        </w:rPr>
      </w:pPr>
    </w:p>
    <w:p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Si la société de gestion souhaite utiliser un taux réel fixe, elle pourra afficher un tableau simplifié avec ce taux unique.</w:t>
      </w:r>
    </w:p>
    <w:p w:rsidR="00CE7EB5" w:rsidRDefault="00CE7EB5" w:rsidP="008C3995">
      <w:pPr>
        <w:pStyle w:val="AMFDate"/>
        <w:ind w:left="0"/>
        <w:jc w:val="both"/>
        <w:rPr>
          <w:rFonts w:asciiTheme="minorHAnsi" w:hAnsiTheme="minorHAnsi" w:cstheme="minorHAnsi"/>
          <w:b w:val="0"/>
          <w:szCs w:val="20"/>
        </w:rPr>
      </w:pPr>
    </w:p>
    <w:p w:rsidR="00F2779B" w:rsidRDefault="00F2779B" w:rsidP="00F2779B">
      <w:pPr>
        <w:pStyle w:val="AMFDoctrineEncadr"/>
        <w:spacing w:line="360" w:lineRule="auto"/>
      </w:pPr>
      <w:r>
        <w:t>Frais de recherche</w:t>
      </w:r>
    </w:p>
    <w:p w:rsidR="00F2779B" w:rsidRPr="00F2779B" w:rsidRDefault="00F2779B" w:rsidP="00F2779B">
      <w:pPr>
        <w:pStyle w:val="AMFDoctrineEncadr"/>
        <w:spacing w:line="360" w:lineRule="auto"/>
        <w:rPr>
          <w:b w:val="0"/>
        </w:rPr>
      </w:pPr>
      <w:r w:rsidRPr="00F2779B">
        <w:rPr>
          <w:b w:val="0"/>
        </w:rPr>
        <w:t>1. Que la société de gestion ait décidé, pour la gestion du FIA, d’ouvrir un compte de recherche au sens de l’article 314-22 du règlement général de l’AMF ou non, elle indique en dessous du tableau des frais facturés au FIA que des frais liés à la recherche au sens de l’article 314-21 du règlement général de l’AMF peuvent être facturés au FIA, lorsque ces frais ne sont pas payés à partir des ressources propres de la société de gestion.</w:t>
      </w:r>
    </w:p>
    <w:p w:rsidR="00F2779B" w:rsidRPr="00F2779B" w:rsidRDefault="00F2779B" w:rsidP="00F2779B">
      <w:pPr>
        <w:pStyle w:val="AMFDoctrineEncadr"/>
        <w:spacing w:line="360" w:lineRule="auto"/>
        <w:rPr>
          <w:b w:val="0"/>
        </w:rPr>
      </w:pPr>
      <w:r w:rsidRPr="00F2779B">
        <w:rPr>
          <w:b w:val="0"/>
        </w:rPr>
        <w:t xml:space="preserve">2. Toute société de gestion qui déciderait d’ouvrir un compte de recherche en informe les actionnaires ou porteurs de parts du FIA par tout moyen. Si elle considère cela approprié, la société de gestion peut en informer les actionnaires ou porteurs de parts de manière particulière en laissant éventuellement la possibilité de sortir sans frais. </w:t>
      </w:r>
    </w:p>
    <w:p w:rsidR="00F2779B" w:rsidRPr="00F2779B" w:rsidRDefault="00F2779B" w:rsidP="00F2779B">
      <w:pPr>
        <w:pStyle w:val="AMFDoctrineEncadr"/>
        <w:spacing w:line="360" w:lineRule="auto"/>
        <w:rPr>
          <w:b w:val="0"/>
        </w:rPr>
      </w:pPr>
      <w:r w:rsidRPr="00F2779B">
        <w:rPr>
          <w:b w:val="0"/>
        </w:rPr>
        <w:t>3. En sus du 2.</w:t>
      </w:r>
      <w:r w:rsidR="00B51263">
        <w:rPr>
          <w:b w:val="0"/>
        </w:rPr>
        <w:t>,</w:t>
      </w:r>
      <w:r w:rsidRPr="00F2779B">
        <w:rPr>
          <w:b w:val="0"/>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rsidR="00F2779B" w:rsidRPr="00F2779B" w:rsidRDefault="00F2779B" w:rsidP="00F2779B">
      <w:pPr>
        <w:pStyle w:val="AMFDoctrineEncadr"/>
        <w:spacing w:line="360" w:lineRule="auto"/>
        <w:rPr>
          <w:b w:val="0"/>
        </w:rPr>
      </w:pPr>
      <w:r>
        <w:rPr>
          <w:b w:val="0"/>
        </w:rPr>
        <w:t xml:space="preserve">- </w:t>
      </w:r>
      <w:r w:rsidRPr="00F2779B">
        <w:rPr>
          <w:b w:val="0"/>
        </w:rPr>
        <w:t>mentionne cette estimation sous le tableau des frais facturés au FIA en précisant que ces frais de recherche sont facturés au FIA. Dans ce cas, la société de gestion ne tient pas compte du 1.</w:t>
      </w:r>
      <w:r w:rsidR="00B51263">
        <w:rPr>
          <w:b w:val="0"/>
        </w:rPr>
        <w:t>,</w:t>
      </w:r>
      <w:r w:rsidRPr="00F2779B">
        <w:rPr>
          <w:b w:val="0"/>
        </w:rPr>
        <w:t xml:space="preserve"> ci-dessus.</w:t>
      </w:r>
    </w:p>
    <w:p w:rsidR="00F2779B" w:rsidRPr="00F2779B" w:rsidRDefault="00F2779B" w:rsidP="00F2779B">
      <w:pPr>
        <w:pStyle w:val="AMFDoctrineEncadr"/>
        <w:spacing w:line="360" w:lineRule="auto"/>
        <w:rPr>
          <w:b w:val="0"/>
        </w:rPr>
      </w:pPr>
      <w:r>
        <w:rPr>
          <w:b w:val="0"/>
        </w:rPr>
        <w:lastRenderedPageBreak/>
        <w:t xml:space="preserve">- </w:t>
      </w:r>
      <w:r w:rsidRPr="00F2779B">
        <w:rPr>
          <w:b w:val="0"/>
        </w:rPr>
        <w:t>informe par tout moyen les actionnaires ou porteurs de parts du FIA de l’augmentation des frais liés à la recherche. Si elle considère cela approprié, la société de gestion peut en informer les actionnaires ou porteurs de parts de manière particulière en leur laissant éventuellement la possibilité de sortir sans frais.</w:t>
      </w:r>
    </w:p>
    <w:p w:rsidR="00F2779B" w:rsidRPr="00AE69D0" w:rsidRDefault="00F2779B" w:rsidP="00F2779B">
      <w:pPr>
        <w:jc w:val="both"/>
        <w:rPr>
          <w:rFonts w:asciiTheme="minorHAnsi" w:hAnsiTheme="minorHAnsi" w:cstheme="minorHAnsi"/>
          <w:sz w:val="20"/>
          <w:szCs w:val="20"/>
        </w:rPr>
      </w:pPr>
    </w:p>
    <w:p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Par ailleurs, doivent également être définis les modalités de calcul et de partage de la rémunération sur les opérations d'acquisitions et cessions temporaires de titres ainsi que sur toute opération équivalente en droit étranger : le prospectus décrit la part des revenus générés par les opérations de financement sur titres qui est reversée au FIA et des coûts et frais attribués au gestionnaire ou à des tiers (par exemple l’agent prêteur). Le prospectus indique également si ceux-ci sont des parties liées au gestionnaire.</w:t>
      </w:r>
    </w:p>
    <w:p w:rsidR="00A67D83" w:rsidRDefault="00A67D83" w:rsidP="00A67D83">
      <w:pPr>
        <w:pStyle w:val="AMFDate"/>
        <w:ind w:left="0"/>
        <w:jc w:val="both"/>
        <w:rPr>
          <w:rFonts w:asciiTheme="minorHAnsi" w:hAnsiTheme="minorHAnsi" w:cstheme="minorHAnsi"/>
          <w:b w:val="0"/>
          <w:szCs w:val="20"/>
        </w:rPr>
      </w:pPr>
    </w:p>
    <w:p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Lorsque le FIA est nourricier, les informations relatives au frais (et notamment le tableau) du maître doivent être reprises dans le prospectus du nourricier.</w:t>
      </w:r>
    </w:p>
    <w:p w:rsidR="00A67D83" w:rsidRPr="00A67D83" w:rsidRDefault="00A67D83" w:rsidP="00A67D83">
      <w:pPr>
        <w:pStyle w:val="AMFDate"/>
        <w:rPr>
          <w:rFonts w:asciiTheme="minorHAnsi" w:hAnsiTheme="minorHAnsi" w:cstheme="minorHAnsi"/>
          <w:szCs w:val="20"/>
        </w:rPr>
      </w:pPr>
    </w:p>
    <w:p w:rsidR="00CE7EB5"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w:t>
      </w:r>
    </w:p>
    <w:p w:rsidR="0072167A" w:rsidRDefault="0072167A" w:rsidP="008C3995">
      <w:pPr>
        <w:pStyle w:val="AMFDate"/>
        <w:ind w:left="0"/>
        <w:jc w:val="both"/>
        <w:rPr>
          <w:rFonts w:asciiTheme="minorHAnsi" w:hAnsiTheme="minorHAnsi" w:cstheme="minorHAnsi"/>
          <w:b w:val="0"/>
          <w:szCs w:val="20"/>
        </w:rPr>
      </w:pPr>
    </w:p>
    <w:p w:rsidR="00CE7EB5" w:rsidRPr="00F15CDD" w:rsidRDefault="00675ADD" w:rsidP="00F15CDD">
      <w:pPr>
        <w:pStyle w:val="AMFDate"/>
        <w:numPr>
          <w:ilvl w:val="0"/>
          <w:numId w:val="6"/>
        </w:numPr>
        <w:jc w:val="left"/>
        <w:outlineLvl w:val="0"/>
        <w:rPr>
          <w:rFonts w:asciiTheme="minorHAnsi" w:hAnsiTheme="minorHAnsi" w:cstheme="minorHAnsi"/>
          <w:b w:val="0"/>
          <w:caps/>
          <w:szCs w:val="20"/>
        </w:rPr>
      </w:pPr>
      <w:r w:rsidRPr="00F15CDD">
        <w:rPr>
          <w:rFonts w:asciiTheme="minorHAnsi" w:hAnsiTheme="minorHAnsi" w:cstheme="minorHAnsi"/>
          <w:b w:val="0"/>
          <w:caps/>
          <w:szCs w:val="20"/>
        </w:rPr>
        <w:t>Informations d’ordre commercial</w:t>
      </w:r>
    </w:p>
    <w:p w:rsidR="00172D5F" w:rsidRDefault="00172D5F" w:rsidP="0072167A">
      <w:pPr>
        <w:pStyle w:val="AMFDate"/>
        <w:ind w:left="0"/>
        <w:jc w:val="both"/>
        <w:rPr>
          <w:rFonts w:asciiTheme="minorHAnsi" w:hAnsiTheme="minorHAnsi" w:cstheme="minorHAnsi"/>
          <w:b w:val="0"/>
          <w:szCs w:val="20"/>
        </w:rPr>
      </w:pPr>
    </w:p>
    <w:p w:rsidR="0072167A" w:rsidRPr="0072167A" w:rsidRDefault="0072167A" w:rsidP="0072167A">
      <w:pPr>
        <w:pStyle w:val="AMFDate"/>
        <w:ind w:left="0"/>
        <w:jc w:val="both"/>
        <w:rPr>
          <w:rFonts w:asciiTheme="minorHAnsi" w:hAnsiTheme="minorHAnsi" w:cstheme="minorHAnsi"/>
          <w:b w:val="0"/>
          <w:szCs w:val="20"/>
        </w:rPr>
      </w:pPr>
      <w:r w:rsidRPr="0072167A">
        <w:rPr>
          <w:rFonts w:asciiTheme="minorHAnsi" w:hAnsiTheme="minorHAnsi" w:cstheme="minorHAnsi"/>
          <w:b w:val="0"/>
          <w:szCs w:val="20"/>
        </w:rPr>
        <w:t>Cette rubrique doit comporter les informations sur les mesures prises pour effectuer :</w:t>
      </w:r>
    </w:p>
    <w:p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1° Les distributions ;</w:t>
      </w:r>
    </w:p>
    <w:p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2° Le rachat ou le remboursement des parts ;</w:t>
      </w:r>
    </w:p>
    <w:p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3° La diffusion des informations concernant le FIA ;</w:t>
      </w:r>
    </w:p>
    <w:p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4° Conformément à l'article L. 533-22-1 du code monétaire financier, il faut indiquer les supports sur lesquels l'investisseur peut trouver l'information sur les critères ESG pris en compte par le FIA dans sa stratégie d'investissement.</w:t>
      </w:r>
    </w:p>
    <w:p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Lorsque les parts sont commercialisées dans un autre État membre, les informations précitées sont données en ce qui concerne cet État membre et sont comprises dans le prospectus qui y est diffusé.</w:t>
      </w:r>
    </w:p>
    <w:p w:rsidR="004F606F" w:rsidRPr="004F606F" w:rsidRDefault="004F606F" w:rsidP="004F606F">
      <w:pPr>
        <w:pStyle w:val="AMFDate"/>
        <w:ind w:left="0"/>
        <w:jc w:val="both"/>
        <w:rPr>
          <w:rFonts w:asciiTheme="minorHAnsi" w:hAnsiTheme="minorHAnsi" w:cstheme="minorHAnsi"/>
          <w:b w:val="0"/>
          <w:szCs w:val="20"/>
        </w:rPr>
      </w:pPr>
    </w:p>
    <w:p w:rsidR="00CE7EB5" w:rsidRPr="00352657" w:rsidRDefault="00352657" w:rsidP="00352657">
      <w:pPr>
        <w:pStyle w:val="AMFDate"/>
        <w:numPr>
          <w:ilvl w:val="0"/>
          <w:numId w:val="6"/>
        </w:numPr>
        <w:jc w:val="left"/>
        <w:outlineLvl w:val="0"/>
        <w:rPr>
          <w:rFonts w:asciiTheme="minorHAnsi" w:hAnsiTheme="minorHAnsi" w:cstheme="minorHAnsi"/>
          <w:b w:val="0"/>
          <w:caps/>
          <w:szCs w:val="20"/>
        </w:rPr>
      </w:pPr>
      <w:r w:rsidRPr="00352657">
        <w:rPr>
          <w:rFonts w:asciiTheme="minorHAnsi" w:hAnsiTheme="minorHAnsi" w:cstheme="minorHAnsi"/>
          <w:b w:val="0"/>
          <w:caps/>
          <w:szCs w:val="20"/>
        </w:rPr>
        <w:t>Règles d’investissement</w:t>
      </w:r>
    </w:p>
    <w:p w:rsidR="00CE7EB5" w:rsidRDefault="00CE7EB5" w:rsidP="008C3995">
      <w:pPr>
        <w:pStyle w:val="AMFDate"/>
        <w:ind w:left="0"/>
        <w:jc w:val="both"/>
        <w:rPr>
          <w:rFonts w:asciiTheme="minorHAnsi" w:hAnsiTheme="minorHAnsi" w:cstheme="minorHAnsi"/>
          <w:b w:val="0"/>
          <w:szCs w:val="20"/>
        </w:rPr>
      </w:pPr>
    </w:p>
    <w:p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Cette rubrique comporte une description des différents ratios réglementaires et spécifiques applicables au FIA. Cette description peut directement faire référence aux textes applicables.</w:t>
      </w:r>
    </w:p>
    <w:p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rsidR="00CE7EB5" w:rsidRDefault="00CE7EB5" w:rsidP="008C3995">
      <w:pPr>
        <w:pStyle w:val="AMFDate"/>
        <w:ind w:left="0"/>
        <w:jc w:val="both"/>
        <w:rPr>
          <w:rFonts w:asciiTheme="minorHAnsi" w:hAnsiTheme="minorHAnsi" w:cstheme="minorHAnsi"/>
          <w:b w:val="0"/>
          <w:szCs w:val="20"/>
        </w:rPr>
      </w:pPr>
    </w:p>
    <w:p w:rsidR="000627EC" w:rsidRPr="000627EC" w:rsidRDefault="000627EC" w:rsidP="000627EC">
      <w:pPr>
        <w:pStyle w:val="AMFDate"/>
        <w:numPr>
          <w:ilvl w:val="0"/>
          <w:numId w:val="6"/>
        </w:numPr>
        <w:jc w:val="left"/>
        <w:outlineLvl w:val="0"/>
        <w:rPr>
          <w:rFonts w:asciiTheme="minorHAnsi" w:hAnsiTheme="minorHAnsi" w:cstheme="minorHAnsi"/>
          <w:b w:val="0"/>
          <w:caps/>
          <w:szCs w:val="20"/>
        </w:rPr>
      </w:pPr>
      <w:r w:rsidRPr="000627EC">
        <w:rPr>
          <w:rFonts w:asciiTheme="minorHAnsi" w:hAnsiTheme="minorHAnsi" w:cstheme="minorHAnsi"/>
          <w:b w:val="0"/>
          <w:caps/>
          <w:szCs w:val="20"/>
        </w:rPr>
        <w:t>Risque global</w:t>
      </w:r>
    </w:p>
    <w:p w:rsidR="00CE7EB5" w:rsidRDefault="00CE7EB5" w:rsidP="008C3995">
      <w:pPr>
        <w:pStyle w:val="AMFDate"/>
        <w:ind w:left="0"/>
        <w:jc w:val="both"/>
        <w:rPr>
          <w:rFonts w:asciiTheme="minorHAnsi" w:hAnsiTheme="minorHAnsi" w:cstheme="minorHAnsi"/>
          <w:b w:val="0"/>
          <w:szCs w:val="20"/>
        </w:rPr>
      </w:pPr>
    </w:p>
    <w:p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 xml:space="preserve">Mention de la méthode de calcul du ratio du risque global (méthode du calcul de l’engagement ou méthode du calcul de la VAR). </w:t>
      </w:r>
    </w:p>
    <w:p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Mention particulière sur les informations relatives au portefeuille de référence si la VAR relative est appliquée.</w:t>
      </w:r>
    </w:p>
    <w:p w:rsidR="00CE7EB5" w:rsidRDefault="00CE7EB5" w:rsidP="008C3995">
      <w:pPr>
        <w:pStyle w:val="AMFDate"/>
        <w:ind w:left="0"/>
        <w:jc w:val="both"/>
        <w:rPr>
          <w:rFonts w:asciiTheme="minorHAnsi" w:hAnsiTheme="minorHAnsi" w:cstheme="minorHAnsi"/>
          <w:b w:val="0"/>
          <w:szCs w:val="20"/>
        </w:rPr>
      </w:pPr>
    </w:p>
    <w:p w:rsidR="005249BA" w:rsidRPr="005249BA" w:rsidRDefault="005249BA" w:rsidP="005249BA">
      <w:pPr>
        <w:pStyle w:val="AMFDate"/>
        <w:numPr>
          <w:ilvl w:val="0"/>
          <w:numId w:val="6"/>
        </w:numPr>
        <w:jc w:val="left"/>
        <w:outlineLvl w:val="0"/>
        <w:rPr>
          <w:rFonts w:asciiTheme="minorHAnsi" w:hAnsiTheme="minorHAnsi" w:cstheme="minorHAnsi"/>
          <w:b w:val="0"/>
          <w:caps/>
          <w:szCs w:val="20"/>
        </w:rPr>
      </w:pPr>
      <w:r w:rsidRPr="005249BA">
        <w:rPr>
          <w:rFonts w:asciiTheme="minorHAnsi" w:hAnsiTheme="minorHAnsi" w:cstheme="minorHAnsi"/>
          <w:b w:val="0"/>
          <w:caps/>
          <w:szCs w:val="20"/>
        </w:rPr>
        <w:t>Règles d’évaluation de l’actif</w:t>
      </w:r>
    </w:p>
    <w:p w:rsidR="005249BA" w:rsidRDefault="005249BA" w:rsidP="008C3995">
      <w:pPr>
        <w:pStyle w:val="AMFDate"/>
        <w:ind w:left="0"/>
        <w:jc w:val="both"/>
        <w:rPr>
          <w:rFonts w:asciiTheme="minorHAnsi" w:hAnsiTheme="minorHAnsi" w:cstheme="minorHAnsi"/>
          <w:b w:val="0"/>
          <w:szCs w:val="20"/>
        </w:rPr>
      </w:pPr>
    </w:p>
    <w:p w:rsidR="00CE7EB5" w:rsidRDefault="005249BA" w:rsidP="008C3995">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Les règles d'évaluation de l'actif reposent sur des méthodes d'évaluation et sur des modalités pratiques qui sont précisées dans l'annexe aux comptes annuels et dans le prospectus.</w:t>
      </w:r>
    </w:p>
    <w:p w:rsidR="00CE7EB5" w:rsidRDefault="00CE7EB5" w:rsidP="008C3995">
      <w:pPr>
        <w:pStyle w:val="AMFDate"/>
        <w:ind w:left="0"/>
        <w:jc w:val="both"/>
        <w:rPr>
          <w:rFonts w:asciiTheme="minorHAnsi" w:hAnsiTheme="minorHAnsi" w:cstheme="minorHAnsi"/>
          <w:b w:val="0"/>
          <w:szCs w:val="20"/>
        </w:rPr>
      </w:pPr>
    </w:p>
    <w:p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 xml:space="preserve">1° Les règles d'évaluation sont fixées, sous leur responsabilité, par le conseil d'administration ou le directoire de la SICAV ou, pour un FCP, par la société de gestion. Le prospectus précise les méthodes d'évaluation de chaque nature </w:t>
      </w:r>
      <w:r w:rsidRPr="005249BA">
        <w:rPr>
          <w:rFonts w:asciiTheme="minorHAnsi" w:hAnsiTheme="minorHAnsi" w:cstheme="minorHAnsi"/>
          <w:b w:val="0"/>
          <w:szCs w:val="20"/>
        </w:rPr>
        <w:lastRenderedPageBreak/>
        <w:t>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FIA.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 prospectus prévoit également des modalités pratiques alternatives en cas, notamment, d'indisponibilité des données financières nécessaires à l'évaluation ainsi qu'une information du commissaire aux comptes du FIA en cas de mise en œuvre.</w:t>
      </w:r>
    </w:p>
    <w:p w:rsidR="00CE7EB5" w:rsidRDefault="00CE7EB5" w:rsidP="008C3995">
      <w:pPr>
        <w:pStyle w:val="AMFDate"/>
        <w:ind w:left="0"/>
        <w:jc w:val="both"/>
        <w:rPr>
          <w:rFonts w:asciiTheme="minorHAnsi" w:hAnsiTheme="minorHAnsi" w:cstheme="minorHAnsi"/>
          <w:b w:val="0"/>
          <w:szCs w:val="20"/>
        </w:rPr>
      </w:pPr>
    </w:p>
    <w:p w:rsidR="00C35DED" w:rsidRPr="00C35DED" w:rsidRDefault="00C35DED" w:rsidP="00C35DED">
      <w:pPr>
        <w:pStyle w:val="AMFDate"/>
        <w:ind w:left="0"/>
        <w:jc w:val="both"/>
        <w:rPr>
          <w:rFonts w:asciiTheme="minorHAnsi" w:hAnsiTheme="minorHAnsi" w:cstheme="minorHAnsi"/>
          <w:b w:val="0"/>
          <w:szCs w:val="20"/>
        </w:rPr>
      </w:pPr>
      <w:r w:rsidRPr="00C35DED">
        <w:rPr>
          <w:rFonts w:asciiTheme="minorHAnsi" w:hAnsiTheme="minorHAnsi" w:cstheme="minorHAnsi"/>
          <w:b w:val="0"/>
          <w:szCs w:val="20"/>
        </w:rPr>
        <w:t>À titre d’exemple :</w:t>
      </w:r>
    </w:p>
    <w:p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Pour les actions, la méthode de valorisation précise que l’on retient les derniers cours connus à l’heure de valorisation du FIA tandis que les modalités pratiques précisent l’heure pour chacun des marchés réglementés utilisés et s’il s’agit du cours d’ouverture ou de clôture ;</w:t>
      </w:r>
    </w:p>
    <w:p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 xml:space="preserve">Pour les TCN, la méthode de valorisation précise quelles options du plan comptable sont retenues et les modalités pratiques précisent notamment les sources d'information des taux retenus. </w:t>
      </w:r>
    </w:p>
    <w:p w:rsidR="00C04715"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Le plan de ce paragraphe du prospectus</w:t>
      </w:r>
      <w:r w:rsidRPr="00C35DED" w:rsidDel="00D45316">
        <w:rPr>
          <w:rFonts w:asciiTheme="minorHAnsi" w:hAnsiTheme="minorHAnsi" w:cstheme="minorHAnsi"/>
          <w:b w:val="0"/>
          <w:szCs w:val="20"/>
        </w:rPr>
        <w:t xml:space="preserve"> </w:t>
      </w:r>
      <w:r w:rsidRPr="00C35DED">
        <w:rPr>
          <w:rFonts w:asciiTheme="minorHAnsi" w:hAnsiTheme="minorHAnsi" w:cstheme="minorHAnsi"/>
          <w:b w:val="0"/>
          <w:szCs w:val="20"/>
        </w:rPr>
        <w:t>est le suivant :</w:t>
      </w:r>
    </w:p>
    <w:p w:rsidR="00C35DED" w:rsidRPr="00C35DED"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 Les instruments financiers et valeurs négociées sur un marché réglementé sont évalués... Toutefois, les instruments suivants sont évalués selon les méthodes spécifiques suivantes :</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non négociés sur un marché réglementé sont évalués ...</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contrats sont évalués ...</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dépôts sont évalués ...</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Autres instruments.</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Descriptions des autres modalités pratiques alternatives d'évaluation et des cas de mise en œuvre. »</w:t>
      </w:r>
    </w:p>
    <w:p w:rsidR="00CE7EB5" w:rsidRDefault="00CE7EB5" w:rsidP="008C3995">
      <w:pPr>
        <w:pStyle w:val="AMFDate"/>
        <w:ind w:left="0"/>
        <w:jc w:val="both"/>
        <w:rPr>
          <w:rFonts w:asciiTheme="minorHAnsi" w:hAnsiTheme="minorHAnsi" w:cstheme="minorHAnsi"/>
          <w:b w:val="0"/>
          <w:szCs w:val="20"/>
        </w:rPr>
      </w:pPr>
    </w:p>
    <w:p w:rsidR="00C04715" w:rsidRPr="00C04715" w:rsidRDefault="00C04715" w:rsidP="00C04715">
      <w:pPr>
        <w:pStyle w:val="AMFDate"/>
        <w:ind w:left="0"/>
        <w:jc w:val="both"/>
        <w:rPr>
          <w:rFonts w:asciiTheme="minorHAnsi" w:hAnsiTheme="minorHAnsi" w:cstheme="minorHAnsi"/>
          <w:b w:val="0"/>
          <w:iCs/>
          <w:szCs w:val="20"/>
        </w:rPr>
      </w:pPr>
      <w:r w:rsidRPr="00C04715">
        <w:rPr>
          <w:rFonts w:asciiTheme="minorHAnsi" w:hAnsiTheme="minorHAnsi" w:cstheme="minorHAnsi"/>
          <w:b w:val="0"/>
          <w:szCs w:val="20"/>
        </w:rPr>
        <w:t>Le prospectus décrit la méthode d’évaluation des garanties et sa justification et mentionne l’utilisation ou non d’une évaluation au prix du marché (</w:t>
      </w:r>
      <w:r w:rsidRPr="00C04715">
        <w:rPr>
          <w:rFonts w:asciiTheme="minorHAnsi" w:hAnsiTheme="minorHAnsi" w:cstheme="minorHAnsi"/>
          <w:b w:val="0"/>
          <w:i/>
          <w:iCs/>
          <w:szCs w:val="20"/>
        </w:rPr>
        <w:t>mark-to-</w:t>
      </w:r>
      <w:proofErr w:type="spellStart"/>
      <w:r w:rsidRPr="00C04715">
        <w:rPr>
          <w:rFonts w:asciiTheme="minorHAnsi" w:hAnsiTheme="minorHAnsi" w:cstheme="minorHAnsi"/>
          <w:b w:val="0"/>
          <w:i/>
          <w:iCs/>
          <w:szCs w:val="20"/>
        </w:rPr>
        <w:t>market</w:t>
      </w:r>
      <w:proofErr w:type="spellEnd"/>
      <w:r w:rsidRPr="00C04715">
        <w:rPr>
          <w:rFonts w:asciiTheme="minorHAnsi" w:hAnsiTheme="minorHAnsi" w:cstheme="minorHAnsi"/>
          <w:b w:val="0"/>
          <w:szCs w:val="20"/>
        </w:rPr>
        <w:t xml:space="preserve">) quotidienne et de marges de variation quotidiennes. </w:t>
      </w:r>
    </w:p>
    <w:p w:rsidR="00C04715" w:rsidRPr="00C04715" w:rsidRDefault="00C04715" w:rsidP="00C04715">
      <w:pPr>
        <w:pStyle w:val="AMFDate"/>
        <w:ind w:left="0"/>
        <w:jc w:val="both"/>
        <w:rPr>
          <w:rFonts w:asciiTheme="minorHAnsi" w:hAnsiTheme="minorHAnsi" w:cstheme="minorHAnsi"/>
          <w:b w:val="0"/>
          <w:szCs w:val="20"/>
        </w:rPr>
      </w:pPr>
    </w:p>
    <w:p w:rsidR="00C04715" w:rsidRP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2° Méthode de comptabilisation. Le mode de comptabilisation retenu pour l'enregistrement des revenus des instruments financiers (coupon couru ou coupon encaissé, prise en compte des intérêts du weekend, …) et des frais de transaction (frais inclus ou frais exclus, le cas échéant, par nature d’instruments) doit être précisé.</w:t>
      </w:r>
    </w:p>
    <w:p w:rsidR="00CE7EB5" w:rsidRDefault="00CE7EB5" w:rsidP="008C3995">
      <w:pPr>
        <w:pStyle w:val="AMFDate"/>
        <w:ind w:left="0"/>
        <w:jc w:val="both"/>
        <w:rPr>
          <w:rFonts w:asciiTheme="minorHAnsi" w:hAnsiTheme="minorHAnsi" w:cstheme="minorHAnsi"/>
          <w:b w:val="0"/>
          <w:szCs w:val="20"/>
        </w:rPr>
      </w:pPr>
    </w:p>
    <w:p w:rsidR="00D06197" w:rsidRPr="00D06197" w:rsidRDefault="00D06197" w:rsidP="00D06197">
      <w:pPr>
        <w:pStyle w:val="AMFDate"/>
        <w:numPr>
          <w:ilvl w:val="0"/>
          <w:numId w:val="6"/>
        </w:numPr>
        <w:jc w:val="left"/>
        <w:outlineLvl w:val="0"/>
        <w:rPr>
          <w:rFonts w:asciiTheme="minorHAnsi" w:hAnsiTheme="minorHAnsi" w:cstheme="minorHAnsi"/>
          <w:szCs w:val="20"/>
        </w:rPr>
      </w:pPr>
      <w:r w:rsidRPr="00D06197">
        <w:rPr>
          <w:rFonts w:asciiTheme="minorHAnsi" w:hAnsiTheme="minorHAnsi" w:cstheme="minorHAnsi"/>
          <w:b w:val="0"/>
          <w:caps/>
          <w:szCs w:val="20"/>
        </w:rPr>
        <w:t>Mentions spécifiques aux fonds relevant du règlement (UE) 2017/1131, dit « Règlement MMF »</w:t>
      </w:r>
    </w:p>
    <w:p w:rsidR="00CE7EB5" w:rsidRDefault="00CE7EB5" w:rsidP="008C3995">
      <w:pPr>
        <w:pStyle w:val="AMFDate"/>
        <w:ind w:left="0"/>
        <w:jc w:val="both"/>
        <w:rPr>
          <w:rFonts w:asciiTheme="minorHAnsi" w:hAnsiTheme="minorHAnsi" w:cstheme="minorHAnsi"/>
          <w:b w:val="0"/>
          <w:szCs w:val="20"/>
        </w:rPr>
      </w:pPr>
    </w:p>
    <w:p w:rsidR="00D06197" w:rsidRPr="00D06197" w:rsidRDefault="00D06197" w:rsidP="00D06197">
      <w:pPr>
        <w:pStyle w:val="AMFDate"/>
        <w:ind w:left="0"/>
        <w:jc w:val="both"/>
        <w:rPr>
          <w:rFonts w:asciiTheme="minorHAnsi" w:hAnsiTheme="minorHAnsi" w:cstheme="minorHAnsi"/>
          <w:i/>
          <w:szCs w:val="20"/>
        </w:rPr>
      </w:pPr>
      <w:r w:rsidRPr="00D06197">
        <w:rPr>
          <w:rFonts w:asciiTheme="minorHAnsi" w:hAnsiTheme="minorHAnsi" w:cstheme="minorHAnsi"/>
          <w:i/>
          <w:szCs w:val="20"/>
        </w:rPr>
        <w:t>Chaque rubrique du prospectus, le cas échéant, doit être complétée des informations suivantes :</w:t>
      </w:r>
    </w:p>
    <w:p w:rsidR="00CE7EB5" w:rsidRDefault="00CE7EB5" w:rsidP="008C3995">
      <w:pPr>
        <w:pStyle w:val="AMFDate"/>
        <w:ind w:left="0"/>
        <w:jc w:val="both"/>
        <w:rPr>
          <w:rFonts w:asciiTheme="minorHAnsi" w:hAnsiTheme="minorHAnsi" w:cstheme="minorHAnsi"/>
          <w:b w:val="0"/>
          <w:szCs w:val="20"/>
        </w:rPr>
      </w:pPr>
    </w:p>
    <w:p w:rsidR="00D06197" w:rsidRP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1° </w:t>
      </w:r>
      <w:r w:rsidRPr="00D06197">
        <w:rPr>
          <w:rFonts w:asciiTheme="minorHAnsi" w:hAnsiTheme="minorHAnsi" w:cstheme="minorHAnsi"/>
          <w:b w:val="0"/>
          <w:szCs w:val="20"/>
          <w:u w:val="single"/>
        </w:rPr>
        <w:t>Mention relative aux caractéristiques du fonds</w:t>
      </w:r>
      <w:r w:rsidRPr="00D06197">
        <w:rPr>
          <w:rFonts w:asciiTheme="minorHAnsi" w:hAnsiTheme="minorHAnsi" w:cstheme="minorHAnsi"/>
          <w:b w:val="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rsidR="00D06197" w:rsidRPr="00D06197" w:rsidRDefault="00D06197" w:rsidP="00D06197">
      <w:pPr>
        <w:pStyle w:val="AMFDate"/>
        <w:jc w:val="both"/>
        <w:rPr>
          <w:rFonts w:asciiTheme="minorHAnsi" w:hAnsiTheme="minorHAnsi" w:cstheme="minorHAnsi"/>
          <w:b w:val="0"/>
          <w:szCs w:val="20"/>
        </w:rPr>
      </w:pPr>
    </w:p>
    <w:p w:rsidR="00D06197" w:rsidRPr="00D06197" w:rsidRDefault="00D06197" w:rsidP="00D06197">
      <w:pPr>
        <w:pStyle w:val="AMFDate"/>
        <w:ind w:left="0"/>
        <w:jc w:val="both"/>
        <w:rPr>
          <w:rFonts w:asciiTheme="minorHAnsi" w:hAnsiTheme="minorHAnsi" w:cstheme="minorHAnsi"/>
          <w:szCs w:val="20"/>
        </w:rPr>
      </w:pPr>
      <w:r w:rsidRPr="00D06197">
        <w:rPr>
          <w:rFonts w:asciiTheme="minorHAnsi" w:hAnsiTheme="minorHAnsi" w:cstheme="minorHAnsi"/>
          <w:b w:val="0"/>
          <w:szCs w:val="20"/>
        </w:rPr>
        <w:t xml:space="preserve">2° </w:t>
      </w:r>
      <w:r w:rsidRPr="00D06197">
        <w:rPr>
          <w:rFonts w:asciiTheme="minorHAnsi" w:hAnsiTheme="minorHAnsi" w:cstheme="minorHAnsi"/>
          <w:b w:val="0"/>
          <w:szCs w:val="20"/>
          <w:u w:val="single"/>
        </w:rPr>
        <w:t>Mention relative à la politique d’investissement</w:t>
      </w:r>
      <w:r w:rsidRPr="00D06197">
        <w:rPr>
          <w:rFonts w:asciiTheme="minorHAnsi" w:hAnsiTheme="minorHAnsi" w:cstheme="minorHAnsi"/>
          <w:b w:val="0"/>
          <w:szCs w:val="20"/>
        </w:rPr>
        <w:t xml:space="preserve"> : le cas échéant, en vertu de l’article 17 paragraphe 7.d) du Règlement MMF, un fonds monétaire inclut dans son prospectus, bien en évidence, une déclaration qui attire l’attention sur l’utilisation de la dérogation d’investissement dans la dette publique monétaire prévue à l’article 17 paragraphe 7 du Règlement MMF et indique toutes les administrations, institutions ou organisations visées au </w:t>
      </w:r>
      <w:r w:rsidRPr="00D06197">
        <w:rPr>
          <w:rFonts w:asciiTheme="minorHAnsi" w:hAnsiTheme="minorHAnsi" w:cstheme="minorHAnsi"/>
          <w:b w:val="0"/>
          <w:szCs w:val="20"/>
        </w:rPr>
        <w:lastRenderedPageBreak/>
        <w:t>premier alinéa du paragraphe 7 de l'article 17 du règlement qui émettent, garantissent individuellement ou conjointement des instruments du marché monétaire dans lesquels il envisage d’investir plus de 5% de ses actifs.</w:t>
      </w:r>
      <w:r w:rsidRPr="00D06197">
        <w:rPr>
          <w:rFonts w:asciiTheme="minorHAnsi" w:hAnsiTheme="minorHAnsi" w:cstheme="minorHAnsi"/>
          <w:szCs w:val="20"/>
        </w:rPr>
        <w:t xml:space="preserve"> </w:t>
      </w:r>
    </w:p>
    <w:p w:rsidR="00D06197" w:rsidRPr="00D06197" w:rsidRDefault="00D06197" w:rsidP="00D06197">
      <w:pPr>
        <w:pStyle w:val="AMFDate"/>
        <w:rPr>
          <w:rFonts w:asciiTheme="minorHAnsi" w:hAnsiTheme="minorHAnsi" w:cstheme="minorHAnsi"/>
          <w:szCs w:val="20"/>
        </w:rPr>
      </w:pPr>
    </w:p>
    <w:p w:rsid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3° </w:t>
      </w:r>
      <w:r w:rsidRPr="00D06197">
        <w:rPr>
          <w:rFonts w:asciiTheme="minorHAnsi" w:hAnsiTheme="minorHAnsi" w:cstheme="minorHAnsi"/>
          <w:b w:val="0"/>
          <w:szCs w:val="20"/>
          <w:u w:val="single"/>
        </w:rPr>
        <w:t>Mention relative aux frais</w:t>
      </w:r>
      <w:r w:rsidRPr="00D06197">
        <w:rPr>
          <w:rFonts w:asciiTheme="minorHAnsi" w:hAnsiTheme="minorHAnsi" w:cstheme="minorHAnsi"/>
          <w:b w:val="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06197">
        <w:rPr>
          <w:rFonts w:asciiTheme="minorHAnsi" w:hAnsiTheme="minorHAnsi" w:cstheme="minorHAnsi"/>
          <w:b w:val="0"/>
          <w:szCs w:val="20"/>
          <w:vertAlign w:val="superscript"/>
        </w:rPr>
        <w:footnoteReference w:id="19"/>
      </w:r>
      <w:r w:rsidRPr="00D06197">
        <w:rPr>
          <w:rFonts w:asciiTheme="minorHAnsi" w:hAnsiTheme="minorHAnsi" w:cstheme="minorHAnsi"/>
          <w:b w:val="0"/>
          <w:szCs w:val="20"/>
        </w:rPr>
        <w:t> ;</w:t>
      </w:r>
    </w:p>
    <w:p w:rsidR="00D06197" w:rsidRPr="006D31EC" w:rsidRDefault="00D06197" w:rsidP="006D31EC">
      <w:pPr>
        <w:pStyle w:val="AMFDate"/>
        <w:ind w:left="0"/>
        <w:jc w:val="both"/>
        <w:rPr>
          <w:rFonts w:asciiTheme="minorHAnsi" w:hAnsiTheme="minorHAnsi" w:cstheme="minorHAnsi"/>
          <w:b w:val="0"/>
          <w:szCs w:val="20"/>
        </w:rPr>
      </w:pPr>
    </w:p>
    <w:p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4° </w:t>
      </w:r>
      <w:r w:rsidRPr="006D31EC">
        <w:rPr>
          <w:rFonts w:asciiTheme="minorHAnsi" w:hAnsiTheme="minorHAnsi" w:cstheme="minorHAnsi"/>
          <w:b w:val="0"/>
          <w:szCs w:val="20"/>
          <w:u w:val="single"/>
        </w:rPr>
        <w:t>Mention relative à la notation de crédit externe du fonds</w:t>
      </w:r>
      <w:r w:rsidRPr="006D31EC">
        <w:rPr>
          <w:rFonts w:asciiTheme="minorHAnsi" w:hAnsiTheme="minorHAnsi" w:cstheme="minorHAnsi"/>
          <w:b w:val="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6D31EC">
        <w:rPr>
          <w:rFonts w:asciiTheme="minorHAnsi" w:hAnsiTheme="minorHAnsi" w:cstheme="minorHAnsi"/>
          <w:b w:val="0"/>
          <w:szCs w:val="20"/>
          <w:vertAlign w:val="superscript"/>
        </w:rPr>
        <w:footnoteReference w:id="20"/>
      </w:r>
      <w:r w:rsidRPr="006D31EC">
        <w:rPr>
          <w:rFonts w:asciiTheme="minorHAnsi" w:hAnsiTheme="minorHAnsi" w:cstheme="minorHAnsi"/>
          <w:b w:val="0"/>
          <w:szCs w:val="20"/>
        </w:rPr>
        <w:t xml:space="preserve"> ;</w:t>
      </w:r>
    </w:p>
    <w:p w:rsidR="006D31EC" w:rsidRPr="006D31EC" w:rsidRDefault="006D31EC" w:rsidP="006D31EC">
      <w:pPr>
        <w:pStyle w:val="AMFDate"/>
        <w:jc w:val="both"/>
        <w:rPr>
          <w:rFonts w:asciiTheme="minorHAnsi" w:hAnsiTheme="minorHAnsi" w:cstheme="minorHAnsi"/>
          <w:b w:val="0"/>
          <w:szCs w:val="20"/>
        </w:rPr>
      </w:pPr>
    </w:p>
    <w:p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5° </w:t>
      </w:r>
      <w:r w:rsidRPr="006D31EC">
        <w:rPr>
          <w:rFonts w:asciiTheme="minorHAnsi" w:hAnsiTheme="minorHAnsi" w:cstheme="minorHAnsi"/>
          <w:b w:val="0"/>
          <w:szCs w:val="20"/>
          <w:u w:val="single"/>
        </w:rPr>
        <w:t>Mention spécifique aux fonds à valeur liquidative à faible volatilité (LVNAV)</w:t>
      </w:r>
      <w:r w:rsidRPr="006D31EC">
        <w:rPr>
          <w:rFonts w:asciiTheme="minorHAnsi" w:hAnsiTheme="minorHAnsi" w:cstheme="minorHAnsi"/>
          <w:b w:val="0"/>
          <w:szCs w:val="20"/>
        </w:rPr>
        <w:t> : le gestionnaire d'un fonds monétaire indique les circonstances dans lesquelles le fonds LVNAV ne procède plus à un rachat ou à une souscription à une valeur liquidative constante par part ou par action</w:t>
      </w:r>
      <w:r w:rsidRPr="006D31EC">
        <w:rPr>
          <w:rFonts w:asciiTheme="minorHAnsi" w:hAnsiTheme="minorHAnsi" w:cstheme="minorHAnsi"/>
          <w:b w:val="0"/>
          <w:szCs w:val="20"/>
          <w:vertAlign w:val="superscript"/>
        </w:rPr>
        <w:footnoteReference w:id="21"/>
      </w:r>
      <w:r w:rsidRPr="006D31EC">
        <w:rPr>
          <w:rFonts w:asciiTheme="minorHAnsi" w:hAnsiTheme="minorHAnsi" w:cstheme="minorHAnsi"/>
          <w:b w:val="0"/>
          <w:szCs w:val="20"/>
        </w:rPr>
        <w:t>.</w:t>
      </w:r>
    </w:p>
    <w:p w:rsidR="006D31EC" w:rsidRPr="006D31EC" w:rsidRDefault="006D31EC" w:rsidP="006D31EC">
      <w:pPr>
        <w:pStyle w:val="AMFDate"/>
        <w:jc w:val="both"/>
        <w:rPr>
          <w:rFonts w:asciiTheme="minorHAnsi" w:hAnsiTheme="minorHAnsi" w:cstheme="minorHAnsi"/>
          <w:b w:val="0"/>
          <w:szCs w:val="20"/>
        </w:rPr>
      </w:pPr>
    </w:p>
    <w:p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6° </w:t>
      </w:r>
      <w:r w:rsidRPr="006D31EC">
        <w:rPr>
          <w:rFonts w:asciiTheme="minorHAnsi" w:hAnsiTheme="minorHAnsi" w:cstheme="minorHAnsi"/>
          <w:b w:val="0"/>
          <w:szCs w:val="20"/>
          <w:u w:val="single"/>
        </w:rPr>
        <w:t>Mention relative à la gestion de la liquidité des fonds à valeur liquidative constante et des fonds à valeur liquidative à faible volatilité (CNAV, LVNAV)</w:t>
      </w:r>
      <w:r>
        <w:rPr>
          <w:rFonts w:asciiTheme="minorHAnsi" w:hAnsiTheme="minorHAnsi" w:cstheme="minorHAnsi"/>
          <w:b w:val="0"/>
          <w:szCs w:val="20"/>
        </w:rPr>
        <w:t xml:space="preserve"> : </w:t>
      </w:r>
      <w:r w:rsidRPr="006D31EC">
        <w:rPr>
          <w:rFonts w:asciiTheme="minorHAnsi" w:hAnsiTheme="minorHAnsi" w:cstheme="minorHAnsi"/>
          <w:b w:val="0"/>
          <w:szCs w:val="20"/>
        </w:rPr>
        <w:t>le fonds monétaire décrit les procédures de gestion de la liquidité</w:t>
      </w:r>
      <w:r w:rsidRPr="006D31EC">
        <w:rPr>
          <w:rFonts w:asciiTheme="minorHAnsi" w:hAnsiTheme="minorHAnsi" w:cstheme="minorHAnsi"/>
          <w:b w:val="0"/>
          <w:szCs w:val="20"/>
          <w:vertAlign w:val="superscript"/>
        </w:rPr>
        <w:footnoteReference w:id="22"/>
      </w:r>
      <w:r w:rsidRPr="006D31EC">
        <w:rPr>
          <w:rFonts w:asciiTheme="minorHAnsi" w:hAnsiTheme="minorHAnsi" w:cstheme="minorHAnsi"/>
          <w:b w:val="0"/>
          <w:szCs w:val="20"/>
        </w:rPr>
        <w:t>.</w:t>
      </w:r>
    </w:p>
    <w:p w:rsidR="00D06197" w:rsidRPr="006D31EC" w:rsidRDefault="00D06197" w:rsidP="006D31EC">
      <w:pPr>
        <w:pStyle w:val="AMFDate"/>
        <w:ind w:left="0"/>
        <w:jc w:val="both"/>
        <w:rPr>
          <w:rFonts w:asciiTheme="minorHAnsi" w:hAnsiTheme="minorHAnsi" w:cstheme="minorHAnsi"/>
          <w:b w:val="0"/>
          <w:szCs w:val="20"/>
        </w:rPr>
      </w:pPr>
    </w:p>
    <w:p w:rsidR="001E1B9D" w:rsidRPr="001E1B9D"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 xml:space="preserve">7° </w:t>
      </w:r>
      <w:r w:rsidRPr="001E1B9D">
        <w:rPr>
          <w:rFonts w:asciiTheme="minorHAnsi" w:hAnsiTheme="minorHAnsi" w:cstheme="minorHAnsi"/>
          <w:b w:val="0"/>
          <w:szCs w:val="20"/>
          <w:u w:val="single"/>
        </w:rPr>
        <w:t>Mention relative à la valorisation</w:t>
      </w:r>
      <w:r w:rsidRPr="001E1B9D">
        <w:rPr>
          <w:rFonts w:asciiTheme="minorHAnsi" w:hAnsiTheme="minorHAnsi" w:cstheme="minorHAnsi"/>
          <w:b w:val="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1E1B9D">
        <w:rPr>
          <w:rFonts w:asciiTheme="minorHAnsi" w:hAnsiTheme="minorHAnsi" w:cstheme="minorHAnsi"/>
          <w:b w:val="0"/>
          <w:szCs w:val="20"/>
          <w:vertAlign w:val="superscript"/>
        </w:rPr>
        <w:footnoteReference w:id="23"/>
      </w:r>
      <w:r w:rsidRPr="001E1B9D">
        <w:rPr>
          <w:rFonts w:asciiTheme="minorHAnsi" w:hAnsiTheme="minorHAnsi" w:cstheme="minorHAnsi"/>
          <w:b w:val="0"/>
          <w:szCs w:val="20"/>
        </w:rPr>
        <w:t>.</w:t>
      </w:r>
    </w:p>
    <w:p w:rsidR="00D06197"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rsidR="00D06197" w:rsidRDefault="00D06197" w:rsidP="008C3995">
      <w:pPr>
        <w:pStyle w:val="AMFDate"/>
        <w:ind w:left="0"/>
        <w:jc w:val="both"/>
        <w:rPr>
          <w:rFonts w:asciiTheme="minorHAnsi" w:hAnsiTheme="minorHAnsi" w:cstheme="minorHAnsi"/>
          <w:b w:val="0"/>
          <w:szCs w:val="20"/>
        </w:rPr>
      </w:pPr>
    </w:p>
    <w:p w:rsidR="00A165CF" w:rsidRPr="00A165CF" w:rsidRDefault="00A165CF" w:rsidP="00A165CF">
      <w:pPr>
        <w:pStyle w:val="AMFDate"/>
        <w:ind w:left="0"/>
        <w:jc w:val="both"/>
        <w:rPr>
          <w:rFonts w:asciiTheme="minorHAnsi" w:hAnsiTheme="minorHAnsi" w:cstheme="minorHAnsi"/>
          <w:b w:val="0"/>
          <w:szCs w:val="20"/>
          <w:u w:val="single"/>
        </w:rPr>
      </w:pPr>
      <w:r w:rsidRPr="00A165CF">
        <w:rPr>
          <w:rFonts w:asciiTheme="minorHAnsi" w:hAnsiTheme="minorHAnsi" w:cstheme="minorHAnsi"/>
          <w:b w:val="0"/>
          <w:szCs w:val="20"/>
          <w:u w:val="single"/>
        </w:rPr>
        <w:t>8° Mention relative au calcul de la valeur liquidative par part ou action :</w:t>
      </w:r>
      <w:r w:rsidRPr="00A165CF">
        <w:rPr>
          <w:rFonts w:asciiTheme="minorHAnsi" w:hAnsiTheme="minorHAnsi" w:cstheme="minorHAnsi"/>
          <w:b w:val="0"/>
          <w:szCs w:val="20"/>
        </w:rPr>
        <w:t xml:space="preserve"> les fonds CNAV et LVNAV doivent clairement expliquer aux investisseurs l’utilisation de la méthode des arrondis dans le calcul de la valeur liquidative par part ou action</w:t>
      </w:r>
      <w:r w:rsidRPr="00A165CF">
        <w:rPr>
          <w:rFonts w:asciiTheme="minorHAnsi" w:hAnsiTheme="minorHAnsi" w:cstheme="minorHAnsi"/>
          <w:b w:val="0"/>
          <w:szCs w:val="20"/>
          <w:vertAlign w:val="superscript"/>
        </w:rPr>
        <w:footnoteReference w:id="24"/>
      </w:r>
      <w:r w:rsidRPr="00A165CF">
        <w:rPr>
          <w:rFonts w:asciiTheme="minorHAnsi" w:hAnsiTheme="minorHAnsi" w:cstheme="minorHAnsi"/>
          <w:b w:val="0"/>
          <w:szCs w:val="20"/>
        </w:rPr>
        <w:t>.</w:t>
      </w:r>
    </w:p>
    <w:p w:rsidR="00A165CF" w:rsidRPr="00A165CF" w:rsidRDefault="00A165CF" w:rsidP="00A165CF">
      <w:pPr>
        <w:pStyle w:val="AMFDate"/>
        <w:jc w:val="both"/>
        <w:rPr>
          <w:rFonts w:asciiTheme="minorHAnsi" w:hAnsiTheme="minorHAnsi" w:cstheme="minorHAnsi"/>
          <w:b w:val="0"/>
          <w:szCs w:val="20"/>
        </w:rPr>
      </w:pPr>
    </w:p>
    <w:p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9° </w:t>
      </w:r>
      <w:r w:rsidRPr="00A165CF">
        <w:rPr>
          <w:rFonts w:asciiTheme="minorHAnsi" w:hAnsiTheme="minorHAnsi" w:cstheme="minorHAnsi"/>
          <w:b w:val="0"/>
          <w:szCs w:val="20"/>
          <w:u w:val="single"/>
        </w:rPr>
        <w:t>Mention relative à la procédure interne d’évaluation de la qualité de crédit des instruments sélectionnés</w:t>
      </w:r>
      <w:r w:rsidRPr="00A165CF">
        <w:rPr>
          <w:rFonts w:asciiTheme="minorHAnsi" w:hAnsiTheme="minorHAnsi" w:cstheme="minorHAnsi"/>
          <w:b w:val="0"/>
          <w:szCs w:val="20"/>
        </w:rPr>
        <w:t xml:space="preserve"> : </w:t>
      </w:r>
    </w:p>
    <w:p w:rsidR="00A165CF" w:rsidRPr="00A165CF" w:rsidRDefault="00A165CF" w:rsidP="00A165CF">
      <w:pPr>
        <w:pStyle w:val="AMFDate"/>
        <w:jc w:val="both"/>
        <w:rPr>
          <w:rFonts w:asciiTheme="minorHAnsi" w:hAnsiTheme="minorHAnsi" w:cstheme="minorHAnsi"/>
          <w:b w:val="0"/>
          <w:szCs w:val="20"/>
        </w:rPr>
      </w:pPr>
    </w:p>
    <w:p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Le fonds monétaire décrit </w:t>
      </w:r>
      <w:r w:rsidRPr="00A165CF">
        <w:rPr>
          <w:rFonts w:asciiTheme="minorHAnsi" w:hAnsiTheme="minorHAnsi" w:cstheme="minorHAnsi"/>
          <w:szCs w:val="20"/>
        </w:rPr>
        <w:t>en détail</w:t>
      </w:r>
      <w:r w:rsidRPr="00A165CF">
        <w:rPr>
          <w:rFonts w:asciiTheme="minorHAnsi" w:hAnsiTheme="minorHAnsi" w:cstheme="minorHAnsi"/>
          <w:b w:val="0"/>
          <w:szCs w:val="20"/>
        </w:rPr>
        <w:t xml:space="preserve"> la procédure d’évaluation interne de la qualité de crédit des instruments sélectionnés</w:t>
      </w:r>
      <w:r w:rsidRPr="00A165CF">
        <w:rPr>
          <w:rFonts w:asciiTheme="minorHAnsi" w:hAnsiTheme="minorHAnsi" w:cstheme="minorHAnsi"/>
          <w:b w:val="0"/>
          <w:szCs w:val="20"/>
          <w:vertAlign w:val="superscript"/>
        </w:rPr>
        <w:footnoteReference w:id="25"/>
      </w:r>
      <w:r w:rsidRPr="00A165CF">
        <w:rPr>
          <w:rFonts w:asciiTheme="minorHAnsi" w:hAnsiTheme="minorHAnsi" w:cstheme="minorHAnsi"/>
          <w:b w:val="0"/>
          <w:szCs w:val="20"/>
        </w:rPr>
        <w:t>.</w:t>
      </w:r>
    </w:p>
    <w:p w:rsid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La procédure d’évaluation interne de la qualité de crédit est élaborée par chaque société de gestion de portefeuille dans le respect des dispositions du Règlement MMF. L’AMF n’impose donc pas de modèle de</w:t>
      </w:r>
      <w:r w:rsidRPr="00A165CF">
        <w:rPr>
          <w:rFonts w:asciiTheme="minorHAnsi" w:hAnsiTheme="minorHAnsi" w:cstheme="minorHAnsi"/>
          <w:szCs w:val="20"/>
        </w:rPr>
        <w:t xml:space="preserve"> </w:t>
      </w:r>
      <w:r w:rsidRPr="00A165CF">
        <w:rPr>
          <w:rFonts w:asciiTheme="minorHAnsi" w:hAnsiTheme="minorHAnsi" w:cstheme="minorHAnsi"/>
          <w:b w:val="0"/>
          <w:szCs w:val="20"/>
        </w:rPr>
        <w:t xml:space="preserve">description obligatoire. Toutefois, le plan-type ci-dessous est suggéré. La description doit présenter </w:t>
      </w:r>
      <w:proofErr w:type="gramStart"/>
      <w:r w:rsidRPr="00A165CF">
        <w:rPr>
          <w:rFonts w:asciiTheme="minorHAnsi" w:hAnsiTheme="minorHAnsi" w:cstheme="minorHAnsi"/>
          <w:b w:val="0"/>
          <w:i/>
          <w:szCs w:val="20"/>
        </w:rPr>
        <w:t>a</w:t>
      </w:r>
      <w:proofErr w:type="gramEnd"/>
      <w:r w:rsidRPr="00A165CF">
        <w:rPr>
          <w:rFonts w:asciiTheme="minorHAnsi" w:hAnsiTheme="minorHAnsi" w:cstheme="minorHAnsi"/>
          <w:b w:val="0"/>
          <w:i/>
          <w:szCs w:val="20"/>
        </w:rPr>
        <w:t xml:space="preserve"> minima</w:t>
      </w:r>
      <w:r w:rsidRPr="00A165CF">
        <w:rPr>
          <w:rFonts w:asciiTheme="minorHAnsi" w:hAnsiTheme="minorHAnsi" w:cstheme="minorHAnsi"/>
          <w:b w:val="0"/>
          <w:szCs w:val="20"/>
        </w:rPr>
        <w:t xml:space="preserve"> un niveau d’information équivalent à celui demandé dans le plan</w:t>
      </w:r>
      <w:r w:rsidRPr="00A165CF">
        <w:rPr>
          <w:rFonts w:asciiTheme="minorHAnsi" w:hAnsiTheme="minorHAnsi" w:cstheme="minorHAnsi"/>
          <w:b w:val="0"/>
          <w:szCs w:val="20"/>
        </w:rPr>
        <w:noBreakHyphen/>
        <w:t xml:space="preserve">type. </w:t>
      </w:r>
    </w:p>
    <w:p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L’essentiel</w:t>
      </w:r>
    </w:p>
    <w:p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b w:val="0"/>
          <w:i/>
          <w:szCs w:val="20"/>
        </w:rPr>
        <w:t xml:space="preserve"> </w:t>
      </w:r>
      <w:r w:rsidRPr="00CB5177">
        <w:rPr>
          <w:rFonts w:asciiTheme="minorHAnsi" w:hAnsiTheme="minorHAnsi" w:cstheme="minorHAnsi"/>
          <w:b w:val="0"/>
          <w:i/>
          <w:szCs w:val="20"/>
        </w:rPr>
        <w:t>;</w:t>
      </w:r>
    </w:p>
    <w:p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b w:val="0"/>
          <w:i/>
          <w:szCs w:val="20"/>
        </w:rPr>
        <w:t>.</w:t>
      </w:r>
    </w:p>
    <w:p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lastRenderedPageBreak/>
        <w:t xml:space="preserve">Description du périmètre de la procédure </w:t>
      </w:r>
    </w:p>
    <w:p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But de la procédure</w:t>
      </w:r>
    </w:p>
    <w:p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Permettre l’investissement dans des actifs de bonne qualité de crédit.</w:t>
      </w:r>
    </w:p>
    <w:p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Périmètre d’application</w:t>
      </w:r>
    </w:p>
    <w:p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Champ minimal règlement MMF</w:t>
      </w:r>
      <w:r w:rsidR="009912DA">
        <w:rPr>
          <w:rFonts w:asciiTheme="minorHAnsi" w:hAnsiTheme="minorHAnsi" w:cstheme="minorHAnsi"/>
          <w:b w:val="0"/>
          <w:i/>
          <w:szCs w:val="20"/>
        </w:rPr>
        <w:t> ;</w:t>
      </w:r>
    </w:p>
    <w:p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Extensions éventuelles : ex. IMM de banques centrales</w:t>
      </w:r>
      <w:r w:rsidR="009912DA">
        <w:rPr>
          <w:rFonts w:asciiTheme="minorHAnsi" w:hAnsiTheme="minorHAnsi" w:cstheme="minorHAnsi"/>
          <w:b w:val="0"/>
          <w:i/>
          <w:szCs w:val="20"/>
        </w:rPr>
        <w:t>.</w:t>
      </w:r>
    </w:p>
    <w:p w:rsidR="00D06197" w:rsidRPr="00CB5177" w:rsidRDefault="00D06197" w:rsidP="00CB5177">
      <w:pPr>
        <w:pStyle w:val="AMFDate"/>
        <w:ind w:left="0"/>
        <w:jc w:val="both"/>
        <w:rPr>
          <w:rFonts w:asciiTheme="minorHAnsi" w:hAnsiTheme="minorHAnsi" w:cstheme="minorHAnsi"/>
          <w:b w:val="0"/>
          <w:szCs w:val="20"/>
        </w:rPr>
      </w:pPr>
    </w:p>
    <w:p w:rsidR="009912DA" w:rsidRPr="009912DA" w:rsidRDefault="009912DA" w:rsidP="009912DA">
      <w:pPr>
        <w:pStyle w:val="AMFDate"/>
        <w:numPr>
          <w:ilvl w:val="0"/>
          <w:numId w:val="34"/>
        </w:numPr>
        <w:ind w:left="397" w:hanging="397"/>
        <w:jc w:val="both"/>
        <w:rPr>
          <w:rFonts w:asciiTheme="minorHAnsi" w:hAnsiTheme="minorHAnsi" w:cstheme="minorHAnsi"/>
          <w:b w:val="0"/>
          <w:i/>
          <w:szCs w:val="20"/>
        </w:rPr>
      </w:pPr>
      <w:r w:rsidRPr="009912DA">
        <w:rPr>
          <w:rFonts w:asciiTheme="minorHAnsi" w:hAnsiTheme="minorHAnsi" w:cstheme="minorHAnsi"/>
          <w:b w:val="0"/>
          <w:i/>
          <w:szCs w:val="20"/>
        </w:rPr>
        <w:t xml:space="preserve">Description des acteurs de la procédure </w:t>
      </w:r>
    </w:p>
    <w:p w:rsidR="009912DA" w:rsidRPr="009912DA" w:rsidRDefault="009912DA" w:rsidP="009912DA">
      <w:pPr>
        <w:pStyle w:val="AMFDate"/>
        <w:numPr>
          <w:ilvl w:val="0"/>
          <w:numId w:val="36"/>
        </w:numPr>
        <w:jc w:val="both"/>
        <w:rPr>
          <w:rFonts w:asciiTheme="minorHAnsi" w:hAnsiTheme="minorHAnsi" w:cstheme="minorHAnsi"/>
          <w:b w:val="0"/>
          <w:i/>
          <w:szCs w:val="20"/>
        </w:rPr>
      </w:pPr>
      <w:r w:rsidRPr="009912DA">
        <w:rPr>
          <w:rFonts w:asciiTheme="minorHAnsi" w:hAnsiTheme="minorHAnsi" w:cstheme="minorHAnsi"/>
          <w:b w:val="0"/>
          <w:i/>
          <w:szCs w:val="20"/>
        </w:rPr>
        <w:t xml:space="preserve">Personnes en charges des différentes tâches : </w:t>
      </w:r>
    </w:p>
    <w:p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ollecter l’information (ex : fonction risque, back office)</w:t>
      </w:r>
      <w:r>
        <w:rPr>
          <w:rFonts w:asciiTheme="minorHAnsi" w:hAnsiTheme="minorHAnsi" w:cstheme="minorHAnsi"/>
          <w:b w:val="0"/>
          <w:i/>
          <w:szCs w:val="20"/>
        </w:rPr>
        <w:t> ;</w:t>
      </w:r>
    </w:p>
    <w:p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M</w:t>
      </w:r>
      <w:r w:rsidRPr="009912DA">
        <w:rPr>
          <w:rFonts w:asciiTheme="minorHAnsi" w:hAnsiTheme="minorHAnsi" w:cstheme="minorHAnsi"/>
          <w:b w:val="0"/>
          <w:i/>
          <w:szCs w:val="20"/>
        </w:rPr>
        <w:t>ettre en œuvre la méthodologie (ex : équipe dédiée d’analystes, contribution des gestionnaires)</w:t>
      </w:r>
    </w:p>
    <w:p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V</w:t>
      </w:r>
      <w:r w:rsidRPr="009912DA">
        <w:rPr>
          <w:rFonts w:asciiTheme="minorHAnsi" w:hAnsiTheme="minorHAnsi" w:cstheme="minorHAnsi"/>
          <w:b w:val="0"/>
          <w:i/>
          <w:szCs w:val="20"/>
        </w:rPr>
        <w:t>alider l’output (ex : comité crédit)</w:t>
      </w:r>
      <w:r>
        <w:rPr>
          <w:rFonts w:asciiTheme="minorHAnsi" w:hAnsiTheme="minorHAnsi" w:cstheme="minorHAnsi"/>
          <w:b w:val="0"/>
          <w:i/>
          <w:szCs w:val="20"/>
        </w:rPr>
        <w:t> ;</w:t>
      </w:r>
    </w:p>
    <w:p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ontrôler la mise en œuvre/revoir/valider la méthodologie (ex : fonction risque, audit, direction générale)</w:t>
      </w:r>
      <w:r>
        <w:rPr>
          <w:rFonts w:asciiTheme="minorHAnsi" w:hAnsiTheme="minorHAnsi" w:cstheme="minorHAnsi"/>
          <w:b w:val="0"/>
          <w:i/>
          <w:szCs w:val="20"/>
        </w:rPr>
        <w:t>.</w:t>
      </w:r>
    </w:p>
    <w:p w:rsidR="00D06197" w:rsidRPr="009912DA" w:rsidRDefault="00D06197" w:rsidP="009912DA">
      <w:pPr>
        <w:pStyle w:val="AMFDate"/>
        <w:ind w:left="0"/>
        <w:jc w:val="both"/>
        <w:rPr>
          <w:rFonts w:asciiTheme="minorHAnsi" w:hAnsiTheme="minorHAnsi" w:cstheme="minorHAnsi"/>
          <w:b w:val="0"/>
          <w:szCs w:val="20"/>
        </w:rPr>
      </w:pPr>
    </w:p>
    <w:p w:rsidR="009D7157" w:rsidRPr="009D7157" w:rsidRDefault="009D7157" w:rsidP="009D7157">
      <w:pPr>
        <w:pStyle w:val="AMFDate"/>
        <w:numPr>
          <w:ilvl w:val="0"/>
          <w:numId w:val="34"/>
        </w:numPr>
        <w:ind w:left="397" w:hanging="397"/>
        <w:jc w:val="both"/>
        <w:rPr>
          <w:rFonts w:asciiTheme="minorHAnsi" w:hAnsiTheme="minorHAnsi" w:cstheme="minorHAnsi"/>
          <w:b w:val="0"/>
          <w:i/>
          <w:szCs w:val="20"/>
        </w:rPr>
      </w:pPr>
      <w:r w:rsidRPr="009D7157">
        <w:rPr>
          <w:rFonts w:asciiTheme="minorHAnsi" w:hAnsiTheme="minorHAnsi" w:cstheme="minorHAnsi"/>
          <w:b w:val="0"/>
          <w:i/>
          <w:szCs w:val="20"/>
        </w:rPr>
        <w:t xml:space="preserve">Fréquence de mise en œuvre de l’évaluation </w:t>
      </w:r>
    </w:p>
    <w:p w:rsidR="009D7157" w:rsidRPr="009D7157" w:rsidRDefault="009D7157" w:rsidP="009D7157">
      <w:pPr>
        <w:pStyle w:val="AMFDate"/>
        <w:numPr>
          <w:ilvl w:val="0"/>
          <w:numId w:val="36"/>
        </w:numPr>
        <w:jc w:val="both"/>
        <w:rPr>
          <w:rFonts w:asciiTheme="minorHAnsi" w:hAnsiTheme="minorHAnsi" w:cstheme="minorHAnsi"/>
          <w:b w:val="0"/>
          <w:i/>
          <w:szCs w:val="20"/>
        </w:rPr>
      </w:pPr>
      <w:r w:rsidRPr="009D7157">
        <w:rPr>
          <w:rFonts w:asciiTheme="minorHAnsi" w:hAnsiTheme="minorHAnsi" w:cstheme="minorHAnsi"/>
          <w:b w:val="0"/>
          <w:i/>
          <w:szCs w:val="20"/>
        </w:rPr>
        <w:t>Fré</w:t>
      </w:r>
      <w:r>
        <w:rPr>
          <w:rFonts w:asciiTheme="minorHAnsi" w:hAnsiTheme="minorHAnsi" w:cstheme="minorHAnsi"/>
          <w:b w:val="0"/>
          <w:i/>
          <w:szCs w:val="20"/>
        </w:rPr>
        <w:t>quence de revue des évaluations ;</w:t>
      </w:r>
      <w:r w:rsidRPr="009D7157">
        <w:rPr>
          <w:rFonts w:asciiTheme="minorHAnsi" w:hAnsiTheme="minorHAnsi" w:cstheme="minorHAnsi"/>
          <w:b w:val="0"/>
          <w:i/>
          <w:szCs w:val="20"/>
        </w:rPr>
        <w:t xml:space="preserve"> </w:t>
      </w:r>
    </w:p>
    <w:p w:rsidR="009D7157" w:rsidRPr="009D7157" w:rsidRDefault="009D7157" w:rsidP="009D7157">
      <w:pPr>
        <w:pStyle w:val="AMFDate"/>
        <w:numPr>
          <w:ilvl w:val="0"/>
          <w:numId w:val="36"/>
        </w:numPr>
        <w:jc w:val="both"/>
        <w:rPr>
          <w:rFonts w:asciiTheme="minorHAnsi" w:hAnsiTheme="minorHAnsi" w:cstheme="minorHAnsi"/>
          <w:i/>
          <w:szCs w:val="20"/>
        </w:rPr>
      </w:pPr>
      <w:r w:rsidRPr="009D7157">
        <w:rPr>
          <w:rFonts w:asciiTheme="minorHAnsi" w:hAnsiTheme="minorHAnsi" w:cstheme="minorHAnsi"/>
          <w:b w:val="0"/>
          <w:i/>
          <w:szCs w:val="20"/>
        </w:rPr>
        <w:t xml:space="preserve">Possibilité de revoir l’évaluation de manière </w:t>
      </w:r>
      <w:r w:rsidRPr="009D7157">
        <w:rPr>
          <w:rFonts w:asciiTheme="minorHAnsi" w:hAnsiTheme="minorHAnsi" w:cstheme="minorHAnsi"/>
          <w:b w:val="0"/>
          <w:i/>
          <w:iCs/>
          <w:szCs w:val="20"/>
        </w:rPr>
        <w:t>ad hoc</w:t>
      </w:r>
      <w:r w:rsidRPr="009D7157">
        <w:rPr>
          <w:rFonts w:asciiTheme="minorHAnsi" w:hAnsiTheme="minorHAnsi" w:cstheme="minorHAnsi"/>
          <w:b w:val="0"/>
          <w:i/>
          <w:szCs w:val="20"/>
        </w:rPr>
        <w:t xml:space="preserve"> en cas d’évènement significatif</w:t>
      </w:r>
      <w:r>
        <w:rPr>
          <w:rFonts w:asciiTheme="minorHAnsi" w:hAnsiTheme="minorHAnsi" w:cstheme="minorHAnsi"/>
          <w:b w:val="0"/>
          <w:i/>
          <w:szCs w:val="20"/>
        </w:rPr>
        <w:t>.</w:t>
      </w:r>
      <w:r w:rsidRPr="009D7157">
        <w:rPr>
          <w:rFonts w:asciiTheme="minorHAnsi" w:hAnsiTheme="minorHAnsi" w:cstheme="minorHAnsi"/>
          <w:i/>
          <w:szCs w:val="20"/>
        </w:rPr>
        <w:t xml:space="preserve"> </w:t>
      </w:r>
    </w:p>
    <w:p w:rsidR="00D06197" w:rsidRDefault="00D06197" w:rsidP="008C3995">
      <w:pPr>
        <w:pStyle w:val="AMFDate"/>
        <w:ind w:left="0"/>
        <w:jc w:val="both"/>
        <w:rPr>
          <w:rFonts w:asciiTheme="minorHAnsi" w:hAnsiTheme="minorHAnsi" w:cstheme="minorHAnsi"/>
          <w:b w:val="0"/>
          <w:szCs w:val="20"/>
        </w:rPr>
      </w:pPr>
    </w:p>
    <w:p w:rsidR="00F50702" w:rsidRPr="00F50702" w:rsidRDefault="00F50702" w:rsidP="00F50702">
      <w:pPr>
        <w:pStyle w:val="AMFDate"/>
        <w:numPr>
          <w:ilvl w:val="0"/>
          <w:numId w:val="34"/>
        </w:numPr>
        <w:ind w:left="397" w:hanging="397"/>
        <w:jc w:val="both"/>
        <w:rPr>
          <w:rFonts w:asciiTheme="minorHAnsi" w:hAnsiTheme="minorHAnsi" w:cstheme="minorHAnsi"/>
          <w:b w:val="0"/>
          <w:i/>
          <w:szCs w:val="20"/>
        </w:rPr>
      </w:pPr>
      <w:r w:rsidRPr="00F50702">
        <w:rPr>
          <w:rFonts w:asciiTheme="minorHAnsi" w:hAnsiTheme="minorHAnsi" w:cstheme="minorHAnsi"/>
          <w:b w:val="0"/>
          <w:i/>
          <w:szCs w:val="20"/>
        </w:rPr>
        <w:t xml:space="preserve">Description des </w:t>
      </w:r>
      <w:r w:rsidRPr="00F50702">
        <w:rPr>
          <w:rFonts w:asciiTheme="minorHAnsi" w:hAnsiTheme="minorHAnsi" w:cstheme="minorHAnsi"/>
          <w:b w:val="0"/>
          <w:i/>
          <w:iCs/>
          <w:szCs w:val="20"/>
        </w:rPr>
        <w:t>paramètres d’entrée et de sortie de la procédure</w:t>
      </w:r>
    </w:p>
    <w:p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inputs de la méthodologie</w:t>
      </w:r>
      <w:r>
        <w:rPr>
          <w:rFonts w:asciiTheme="minorHAnsi" w:hAnsiTheme="minorHAnsi" w:cstheme="minorHAnsi"/>
          <w:b w:val="0"/>
          <w:i/>
          <w:szCs w:val="20"/>
        </w:rPr>
        <w:t> ;</w:t>
      </w:r>
    </w:p>
    <w:p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sources (ex : rapports annuels publics collectés à chaque revue, spreads de crédit rapatriés sur l’outil risque, veille de presse, etc.)</w:t>
      </w:r>
      <w:r>
        <w:rPr>
          <w:rFonts w:asciiTheme="minorHAnsi" w:hAnsiTheme="minorHAnsi" w:cstheme="minorHAnsi"/>
          <w:b w:val="0"/>
          <w:i/>
          <w:szCs w:val="20"/>
        </w:rPr>
        <w:t> ;</w:t>
      </w:r>
    </w:p>
    <w:p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 xml:space="preserve">Décrire l’output qui permet de déterminer si l’émetteur fait l’objet d’une évaluation de crédit positive : « black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xml:space="preserve"> », « green </w:t>
      </w:r>
      <w:proofErr w:type="spellStart"/>
      <w:r w:rsidRPr="00F50702">
        <w:rPr>
          <w:rFonts w:asciiTheme="minorHAnsi" w:hAnsiTheme="minorHAnsi" w:cstheme="minorHAnsi"/>
          <w:b w:val="0"/>
          <w:i/>
          <w:szCs w:val="20"/>
        </w:rPr>
        <w:t>list</w:t>
      </w:r>
      <w:proofErr w:type="spellEnd"/>
      <w:r w:rsidRPr="00F50702">
        <w:rPr>
          <w:rFonts w:asciiTheme="minorHAnsi" w:hAnsiTheme="minorHAnsi" w:cstheme="minorHAnsi"/>
          <w:b w:val="0"/>
          <w:i/>
          <w:szCs w:val="20"/>
        </w:rPr>
        <w:t> », score avec seuil minimal…</w:t>
      </w:r>
    </w:p>
    <w:p w:rsidR="00D06197" w:rsidRPr="00F50702" w:rsidRDefault="00D06197" w:rsidP="00F50702">
      <w:pPr>
        <w:pStyle w:val="AMFDate"/>
        <w:ind w:left="0"/>
        <w:jc w:val="both"/>
        <w:rPr>
          <w:rFonts w:asciiTheme="minorHAnsi" w:hAnsiTheme="minorHAnsi" w:cstheme="minorHAnsi"/>
          <w:b w:val="0"/>
          <w:szCs w:val="20"/>
        </w:rPr>
      </w:pPr>
    </w:p>
    <w:p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Description de la méthodologie [art. 21§1 a et b du règlement]</w:t>
      </w:r>
    </w:p>
    <w:p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Bien distinguer le cas échéant les méthodologies par type d’actif/contrepartie (ex : une méthodologie pour les compagnies financières, une pour les </w:t>
      </w:r>
      <w:proofErr w:type="spellStart"/>
      <w:r w:rsidRPr="008F52D7">
        <w:rPr>
          <w:rFonts w:asciiTheme="minorHAnsi" w:hAnsiTheme="minorHAnsi" w:cstheme="minorHAnsi"/>
          <w:b w:val="0"/>
          <w:i/>
          <w:szCs w:val="20"/>
        </w:rPr>
        <w:t>corporates</w:t>
      </w:r>
      <w:proofErr w:type="spellEnd"/>
      <w:r w:rsidRPr="008F52D7">
        <w:rPr>
          <w:rFonts w:asciiTheme="minorHAnsi" w:hAnsiTheme="minorHAnsi" w:cstheme="minorHAnsi"/>
          <w:b w:val="0"/>
          <w:i/>
          <w:szCs w:val="20"/>
        </w:rPr>
        <w:t xml:space="preserve">, une pour les ABCP) ; </w:t>
      </w:r>
    </w:p>
    <w:p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b w:val="0"/>
          <w:i/>
          <w:szCs w:val="20"/>
        </w:rPr>
        <w:t>ualité de crédit, d’autre part.</w:t>
      </w:r>
    </w:p>
    <w:p w:rsidR="00D06197" w:rsidRPr="008F52D7" w:rsidRDefault="00D06197" w:rsidP="008C3995">
      <w:pPr>
        <w:pStyle w:val="AMFDate"/>
        <w:ind w:left="0"/>
        <w:jc w:val="both"/>
        <w:rPr>
          <w:rFonts w:asciiTheme="minorHAnsi" w:hAnsiTheme="minorHAnsi" w:cstheme="minorHAnsi"/>
          <w:b w:val="0"/>
          <w:szCs w:val="20"/>
        </w:rPr>
      </w:pPr>
    </w:p>
    <w:p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du cadre de revue </w:t>
      </w:r>
    </w:p>
    <w:p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Acteurs de la revue (lien avec partie II)</w:t>
      </w:r>
    </w:p>
    <w:p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Fréquence de la revue</w:t>
      </w:r>
    </w:p>
    <w:p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des éléments permettant de déclencher une revue (lien avec partie III) </w:t>
      </w:r>
    </w:p>
    <w:p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Nature de la revue (travaux effectués, tests) </w:t>
      </w:r>
    </w:p>
    <w:p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Par exemple, vérification de la pertinence des hypothèses sous-jacente, comparaison des évolutions d’analyse en interne par rapport au sentiment du marché. </w:t>
      </w:r>
    </w:p>
    <w:p w:rsidR="00D06197" w:rsidRDefault="00D06197" w:rsidP="008C3995">
      <w:pPr>
        <w:pStyle w:val="AMFDate"/>
        <w:ind w:left="0"/>
        <w:jc w:val="both"/>
        <w:rPr>
          <w:rFonts w:asciiTheme="minorHAnsi" w:hAnsiTheme="minorHAnsi" w:cstheme="minorHAnsi"/>
          <w:b w:val="0"/>
          <w:szCs w:val="20"/>
        </w:rPr>
      </w:pPr>
    </w:p>
    <w:p w:rsidR="00F85752" w:rsidRPr="00F85752" w:rsidRDefault="00F85752" w:rsidP="00F85752">
      <w:pPr>
        <w:pStyle w:val="AMFDate"/>
        <w:jc w:val="both"/>
        <w:rPr>
          <w:rFonts w:asciiTheme="minorHAnsi" w:hAnsiTheme="minorHAnsi" w:cstheme="minorHAnsi"/>
          <w:b w:val="0"/>
          <w:szCs w:val="20"/>
          <w:u w:val="single"/>
        </w:rPr>
      </w:pPr>
      <w:r w:rsidRPr="00F85752">
        <w:rPr>
          <w:rFonts w:asciiTheme="minorHAnsi" w:hAnsiTheme="minorHAnsi" w:cstheme="minorHAnsi"/>
          <w:b w:val="0"/>
          <w:szCs w:val="20"/>
          <w:u w:val="single"/>
        </w:rPr>
        <w:t>Remarques complémentaires</w:t>
      </w:r>
    </w:p>
    <w:p w:rsidR="00F85752" w:rsidRPr="00F85752" w:rsidRDefault="00F85752" w:rsidP="00F85752">
      <w:pPr>
        <w:pStyle w:val="AMFDate"/>
        <w:numPr>
          <w:ilvl w:val="0"/>
          <w:numId w:val="36"/>
        </w:numPr>
        <w:jc w:val="both"/>
        <w:rPr>
          <w:rFonts w:asciiTheme="minorHAnsi" w:hAnsiTheme="minorHAnsi" w:cstheme="minorHAnsi"/>
          <w:b w:val="0"/>
          <w:szCs w:val="20"/>
        </w:rPr>
      </w:pPr>
      <w:r w:rsidRPr="00F85752">
        <w:rPr>
          <w:rFonts w:asciiTheme="minorHAnsi" w:hAnsiTheme="minorHAnsi" w:cstheme="minorHAnsi"/>
          <w:b w:val="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rsidR="00D06197" w:rsidRDefault="00D06197" w:rsidP="008C3995">
      <w:pPr>
        <w:pStyle w:val="AMFDate"/>
        <w:ind w:left="0"/>
        <w:jc w:val="both"/>
        <w:rPr>
          <w:rFonts w:asciiTheme="minorHAnsi" w:hAnsiTheme="minorHAnsi" w:cstheme="minorHAnsi"/>
          <w:b w:val="0"/>
          <w:szCs w:val="20"/>
        </w:rPr>
      </w:pPr>
    </w:p>
    <w:p w:rsidR="00D06197" w:rsidRDefault="00D06197" w:rsidP="008C3995">
      <w:pPr>
        <w:pStyle w:val="AMFDate"/>
        <w:ind w:left="0"/>
        <w:jc w:val="both"/>
        <w:rPr>
          <w:rFonts w:asciiTheme="minorHAnsi" w:hAnsiTheme="minorHAnsi" w:cstheme="minorHAnsi"/>
          <w:b w:val="0"/>
          <w:szCs w:val="20"/>
        </w:rPr>
      </w:pPr>
    </w:p>
    <w:p w:rsidR="00D06197" w:rsidRDefault="00D06197" w:rsidP="008C3995">
      <w:pPr>
        <w:pStyle w:val="AMFDate"/>
        <w:ind w:left="0"/>
        <w:jc w:val="both"/>
        <w:rPr>
          <w:rFonts w:asciiTheme="minorHAnsi" w:hAnsiTheme="minorHAnsi" w:cstheme="minorHAnsi"/>
          <w:b w:val="0"/>
          <w:szCs w:val="20"/>
        </w:rPr>
      </w:pPr>
    </w:p>
    <w:p w:rsidR="00CE7EB5" w:rsidRDefault="00CE7EB5" w:rsidP="008C3995">
      <w:pPr>
        <w:pStyle w:val="AMFDate"/>
        <w:ind w:left="0"/>
        <w:jc w:val="both"/>
        <w:rPr>
          <w:rFonts w:asciiTheme="minorHAnsi" w:hAnsiTheme="minorHAnsi" w:cstheme="minorHAnsi"/>
          <w:b w:val="0"/>
          <w:szCs w:val="20"/>
        </w:rPr>
      </w:pPr>
    </w:p>
    <w:sectPr w:rsidR="00CE7EB5" w:rsidSect="00081395">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C7" w:rsidRDefault="00374DC7">
      <w:r>
        <w:separator/>
      </w:r>
    </w:p>
  </w:endnote>
  <w:endnote w:type="continuationSeparator" w:id="0">
    <w:p w:rsidR="00374DC7" w:rsidRDefault="0037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A1" w:rsidRDefault="00235A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374DC7" w:rsidRDefault="00374DC7" w:rsidP="00EC2534">
        <w:pPr>
          <w:pStyle w:val="Pieddepage"/>
        </w:pPr>
        <w:r>
          <w:ptab w:relativeTo="margin" w:alignment="right" w:leader="underscore"/>
        </w:r>
      </w:p>
      <w:p w:rsidR="00374DC7" w:rsidRPr="00ED7AD9" w:rsidRDefault="00374DC7"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5589C">
          <w:rPr>
            <w:rFonts w:asciiTheme="minorHAnsi" w:hAnsiTheme="minorHAnsi" w:cstheme="minorHAnsi"/>
            <w:bCs/>
            <w:noProof/>
            <w:sz w:val="18"/>
            <w:szCs w:val="18"/>
          </w:rPr>
          <w:t>21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5589C">
          <w:rPr>
            <w:rFonts w:asciiTheme="minorHAnsi" w:hAnsiTheme="minorHAnsi" w:cstheme="minorHAnsi"/>
            <w:bCs/>
            <w:noProof/>
            <w:sz w:val="18"/>
            <w:szCs w:val="18"/>
          </w:rPr>
          <w:t>23</w:t>
        </w:r>
        <w:r w:rsidRPr="00ED7AD9">
          <w:rPr>
            <w:rFonts w:asciiTheme="minorHAnsi" w:hAnsiTheme="minorHAnsi" w:cstheme="minorHAnsi"/>
            <w:sz w:val="18"/>
            <w:szCs w:val="18"/>
          </w:rPr>
          <w:fldChar w:fldCharType="end"/>
        </w:r>
      </w:p>
    </w:sdtContent>
  </w:sdt>
  <w:p w:rsidR="00374DC7" w:rsidRDefault="00374D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374DC7" w:rsidRDefault="00374DC7" w:rsidP="00EC2534">
        <w:pPr>
          <w:pStyle w:val="Pieddepage"/>
        </w:pPr>
        <w:r>
          <w:ptab w:relativeTo="margin" w:alignment="right" w:leader="underscore"/>
        </w:r>
      </w:p>
      <w:p w:rsidR="00374DC7" w:rsidRPr="00ED7AD9" w:rsidRDefault="00374DC7"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5589C">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5589C">
          <w:rPr>
            <w:rFonts w:asciiTheme="minorHAnsi" w:hAnsiTheme="minorHAnsi" w:cstheme="minorHAnsi"/>
            <w:bCs/>
            <w:noProof/>
            <w:sz w:val="18"/>
            <w:szCs w:val="18"/>
          </w:rPr>
          <w:t>23</w:t>
        </w:r>
        <w:r w:rsidRPr="00ED7AD9">
          <w:rPr>
            <w:rFonts w:asciiTheme="minorHAnsi" w:hAnsiTheme="minorHAnsi" w:cstheme="minorHAnsi"/>
            <w:sz w:val="18"/>
            <w:szCs w:val="18"/>
          </w:rPr>
          <w:fldChar w:fldCharType="end"/>
        </w:r>
      </w:p>
    </w:sdtContent>
  </w:sdt>
  <w:p w:rsidR="00374DC7" w:rsidRDefault="00374D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C7" w:rsidRDefault="00374DC7">
      <w:r>
        <w:separator/>
      </w:r>
    </w:p>
  </w:footnote>
  <w:footnote w:type="continuationSeparator" w:id="0">
    <w:p w:rsidR="00374DC7" w:rsidRDefault="00374DC7">
      <w:r>
        <w:continuationSeparator/>
      </w:r>
    </w:p>
  </w:footnote>
  <w:footnote w:id="1">
    <w:p w:rsidR="00374DC7" w:rsidRPr="00391B9A" w:rsidRDefault="00374DC7" w:rsidP="00AE69D0">
      <w:pPr>
        <w:rPr>
          <w:szCs w:val="16"/>
        </w:rPr>
      </w:pPr>
      <w:r w:rsidRPr="00AE69D0">
        <w:rPr>
          <w:rFonts w:asciiTheme="minorHAnsi" w:hAnsiTheme="minorHAnsi" w:cstheme="minorHAnsi"/>
          <w:i/>
          <w:sz w:val="16"/>
          <w:vertAlign w:val="superscript"/>
        </w:rPr>
        <w:footnoteRef/>
      </w:r>
      <w:r w:rsidRPr="00AE69D0">
        <w:rPr>
          <w:rFonts w:asciiTheme="minorHAnsi" w:hAnsiTheme="minorHAnsi" w:cstheme="minorHAnsi"/>
          <w:i/>
          <w:sz w:val="16"/>
          <w:szCs w:val="16"/>
          <w:vertAlign w:val="superscript"/>
        </w:rPr>
        <w:t xml:space="preserve"> </w:t>
      </w:r>
      <w:r w:rsidRPr="00AE69D0">
        <w:rPr>
          <w:rFonts w:asciiTheme="minorHAnsi" w:hAnsiTheme="minorHAnsi" w:cstheme="minorHAnsi"/>
          <w:i/>
          <w:sz w:val="16"/>
          <w:szCs w:val="16"/>
        </w:rPr>
        <w:t>DICI : document d’information clé pour l’investisseur</w:t>
      </w:r>
    </w:p>
  </w:footnote>
  <w:footnote w:id="2">
    <w:p w:rsidR="00374DC7" w:rsidRPr="00DD0F5F" w:rsidRDefault="00374DC7" w:rsidP="00DD0F5F">
      <w:pPr>
        <w:jc w:val="both"/>
        <w:rPr>
          <w:rFonts w:asciiTheme="minorHAnsi" w:hAnsiTheme="minorHAnsi" w:cstheme="minorHAnsi"/>
          <w:i/>
          <w:sz w:val="16"/>
          <w:szCs w:val="16"/>
        </w:rPr>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vertAlign w:val="superscript"/>
        </w:rPr>
        <w:t xml:space="preserve"> </w:t>
      </w:r>
      <w:r w:rsidRPr="00DD0F5F">
        <w:rPr>
          <w:rFonts w:asciiTheme="minorHAnsi" w:hAnsiTheme="minorHAnsi" w:cstheme="minorHAnsi"/>
          <w:i/>
          <w:sz w:val="16"/>
          <w:szCs w:val="16"/>
        </w:rPr>
        <w:t>Pour les sociétés de gestion de portefeuille soumises au titre Ier du livre III du règlement général de l’AMF pour leur activité de gestion de FIA.</w:t>
      </w:r>
    </w:p>
  </w:footnote>
  <w:footnote w:id="3">
    <w:p w:rsidR="00374DC7" w:rsidRDefault="00374DC7" w:rsidP="00DD0F5F">
      <w:pPr>
        <w:jc w:val="both"/>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rPr>
        <w:t xml:space="preserve"> Pour les sociétés de gestion</w:t>
      </w:r>
      <w:bookmarkStart w:id="0" w:name="_GoBack"/>
      <w:bookmarkEnd w:id="0"/>
      <w:r w:rsidRPr="00DD0F5F">
        <w:rPr>
          <w:rFonts w:asciiTheme="minorHAnsi" w:hAnsiTheme="minorHAnsi" w:cstheme="minorHAnsi"/>
          <w:i/>
          <w:sz w:val="16"/>
          <w:szCs w:val="16"/>
        </w:rPr>
        <w:t xml:space="preserve">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rsidR="0095589C" w:rsidRDefault="0095589C" w:rsidP="0095589C">
      <w:pPr>
        <w:jc w:val="both"/>
      </w:pPr>
      <w:r w:rsidRPr="0095589C">
        <w:rPr>
          <w:rStyle w:val="Appelnotedebasdep"/>
          <w:sz w:val="16"/>
          <w:szCs w:val="16"/>
        </w:rPr>
        <w:footnoteRef/>
      </w:r>
      <w:r w:rsidRPr="0095589C">
        <w:rPr>
          <w:sz w:val="16"/>
          <w:szCs w:val="16"/>
        </w:rPr>
        <w:t xml:space="preserve"> </w:t>
      </w:r>
      <w:r w:rsidRPr="0095589C">
        <w:rPr>
          <w:rFonts w:asciiTheme="minorHAnsi" w:hAnsiTheme="minorHAnsi" w:cstheme="minorHAnsi"/>
          <w:i/>
          <w:sz w:val="16"/>
          <w:szCs w:val="16"/>
        </w:rPr>
        <w:t>Sont ici appelés « </w:t>
      </w:r>
      <w:proofErr w:type="spellStart"/>
      <w:r w:rsidRPr="0095589C">
        <w:rPr>
          <w:rFonts w:asciiTheme="minorHAnsi" w:hAnsiTheme="minorHAnsi" w:cstheme="minorHAnsi"/>
          <w:i/>
          <w:sz w:val="16"/>
          <w:szCs w:val="16"/>
        </w:rPr>
        <w:t>CoCos</w:t>
      </w:r>
      <w:proofErr w:type="spellEnd"/>
      <w:r w:rsidRPr="0095589C">
        <w:rPr>
          <w:rFonts w:asciiTheme="minorHAnsi" w:hAnsiTheme="minorHAnsi" w:cstheme="minorHAnsi"/>
          <w:i/>
          <w:sz w:val="16"/>
          <w:szCs w:val="16"/>
        </w:rPr>
        <w:t> » (de l’anglais « Contingent Convertibles » ou « </w:t>
      </w:r>
      <w:proofErr w:type="spellStart"/>
      <w:r w:rsidRPr="0095589C">
        <w:rPr>
          <w:rFonts w:asciiTheme="minorHAnsi" w:hAnsiTheme="minorHAnsi" w:cstheme="minorHAnsi"/>
          <w:i/>
          <w:sz w:val="16"/>
          <w:szCs w:val="16"/>
        </w:rPr>
        <w:t>Compulsory</w:t>
      </w:r>
      <w:proofErr w:type="spellEnd"/>
      <w:r w:rsidRPr="0095589C">
        <w:rPr>
          <w:rFonts w:asciiTheme="minorHAnsi" w:hAnsiTheme="minorHAnsi" w:cstheme="minorHAnsi"/>
          <w:i/>
          <w:sz w:val="16"/>
          <w:szCs w:val="16"/>
        </w:rPr>
        <w:t xml:space="preserve"> Convertibles ») les titres de créance subordonnés émis par les établissements de crédit ou les compagnies d’assurance ou de réassurance, éligibles dans leurs fonds propres réglementaires et</w:t>
      </w:r>
      <w:r w:rsidRPr="0095589C">
        <w:rPr>
          <w:sz w:val="16"/>
          <w:szCs w:val="16"/>
        </w:rPr>
        <w:t xml:space="preserve"> </w:t>
      </w:r>
      <w:r w:rsidRPr="0095589C">
        <w:rPr>
          <w:rFonts w:asciiTheme="minorHAnsi" w:hAnsiTheme="minorHAnsi" w:cstheme="minorHAnsi"/>
          <w:i/>
          <w:sz w:val="16"/>
          <w:szCs w:val="16"/>
        </w:rPr>
        <w:t>qui présentent la spécificité d’être convertibles en actions, ou bien dont le nominal peut être diminué</w:t>
      </w:r>
      <w:r w:rsidRPr="0095589C">
        <w:t xml:space="preserve"> </w:t>
      </w:r>
      <w:r w:rsidRPr="0095589C">
        <w:rPr>
          <w:rFonts w:asciiTheme="minorHAnsi" w:hAnsiTheme="minorHAnsi" w:cstheme="minorHAnsi"/>
          <w:i/>
          <w:sz w:val="16"/>
          <w:szCs w:val="16"/>
        </w:rPr>
        <w:t>(mécanisme dit de « </w:t>
      </w:r>
      <w:proofErr w:type="spellStart"/>
      <w:r w:rsidRPr="0095589C">
        <w:rPr>
          <w:rFonts w:asciiTheme="minorHAnsi" w:hAnsiTheme="minorHAnsi" w:cstheme="minorHAnsi"/>
          <w:i/>
          <w:sz w:val="16"/>
          <w:szCs w:val="16"/>
        </w:rPr>
        <w:t>write</w:t>
      </w:r>
      <w:proofErr w:type="spellEnd"/>
      <w:r w:rsidRPr="0095589C">
        <w:rPr>
          <w:rFonts w:asciiTheme="minorHAnsi" w:hAnsiTheme="minorHAnsi" w:cstheme="minorHAnsi"/>
          <w:i/>
          <w:sz w:val="16"/>
          <w:szCs w:val="16"/>
        </w:rPr>
        <w:t xml:space="preserve"> down ») en</w:t>
      </w:r>
      <w:r w:rsidRPr="0095589C">
        <w:t xml:space="preserve"> </w:t>
      </w:r>
      <w:r w:rsidRPr="0095589C">
        <w:rPr>
          <w:rFonts w:asciiTheme="minorHAnsi" w:hAnsiTheme="minorHAnsi" w:cstheme="minorHAnsi"/>
          <w:i/>
          <w:sz w:val="16"/>
          <w:szCs w:val="16"/>
        </w:rPr>
        <w:t>cas de</w:t>
      </w:r>
      <w:r w:rsidRPr="0095589C">
        <w:t xml:space="preserve"> </w:t>
      </w:r>
      <w:r w:rsidRPr="0095589C">
        <w:rPr>
          <w:rFonts w:asciiTheme="minorHAnsi" w:hAnsiTheme="minorHAnsi" w:cstheme="minorHAnsi"/>
          <w:i/>
          <w:sz w:val="16"/>
          <w:szCs w:val="16"/>
        </w:rPr>
        <w:t>survenance d’un « élément déclencheur » (de l’anglais « Trigger »), préalablement défini dans le prospectus desdits titres de créance.</w:t>
      </w:r>
    </w:p>
  </w:footnote>
  <w:footnote w:id="5">
    <w:p w:rsidR="00374DC7" w:rsidRDefault="00374DC7" w:rsidP="007A39C7">
      <w:pPr>
        <w:jc w:val="both"/>
      </w:pPr>
      <w:r w:rsidRPr="007A39C7">
        <w:rPr>
          <w:rFonts w:asciiTheme="minorHAnsi" w:hAnsiTheme="minorHAnsi" w:cstheme="minorHAnsi"/>
          <w:i/>
          <w:sz w:val="16"/>
          <w:szCs w:val="16"/>
          <w:vertAlign w:val="superscript"/>
        </w:rPr>
        <w:footnoteRef/>
      </w:r>
      <w:r w:rsidRPr="007A39C7">
        <w:rPr>
          <w:rFonts w:asciiTheme="minorHAnsi" w:hAnsiTheme="minorHAnsi" w:cstheme="minorHAnsi"/>
          <w:i/>
          <w:sz w:val="16"/>
          <w:szCs w:val="16"/>
        </w:rPr>
        <w:t xml:space="preserve"> Si l’administrateur en charge de la fourniture de l’indice de référence appartient à un groupe, le prospectus du FIA indique clairement l’entité qui, au sein de ce groupe, agit en qualité d’administrateur de cet indice de référence.</w:t>
      </w:r>
    </w:p>
  </w:footnote>
  <w:footnote w:id="6">
    <w:p w:rsidR="00374DC7" w:rsidRPr="00B66AAD" w:rsidRDefault="00374DC7" w:rsidP="00B66AAD">
      <w:pPr>
        <w:jc w:val="both"/>
        <w:rPr>
          <w:rFonts w:asciiTheme="minorHAnsi" w:hAnsiTheme="minorHAnsi" w:cstheme="minorHAnsi"/>
          <w:i/>
          <w:sz w:val="16"/>
          <w:szCs w:val="16"/>
        </w:rPr>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7">
    <w:p w:rsidR="00374DC7" w:rsidRDefault="00374DC7" w:rsidP="00B66AAD">
      <w:pPr>
        <w:jc w:val="both"/>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8">
    <w:p w:rsidR="00374DC7" w:rsidRPr="00A6382D" w:rsidRDefault="00374DC7" w:rsidP="00A6382D">
      <w:pPr>
        <w:jc w:val="both"/>
        <w:rPr>
          <w:rFonts w:asciiTheme="minorHAnsi" w:hAnsiTheme="minorHAnsi" w:cstheme="minorHAnsi"/>
          <w:i/>
          <w:sz w:val="16"/>
          <w:szCs w:val="16"/>
        </w:rPr>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rPr>
        <w:t xml:space="preserve"> Cette information doit également être communiquée s’agissant des contrats d’échange sur rendement global utilisés par le FIA.</w:t>
      </w:r>
    </w:p>
  </w:footnote>
  <w:footnote w:id="9">
    <w:p w:rsidR="00374DC7" w:rsidRDefault="00374DC7" w:rsidP="00A6382D">
      <w:pPr>
        <w:jc w:val="both"/>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vertAlign w:val="superscript"/>
        </w:rPr>
        <w:t xml:space="preserve"> </w:t>
      </w:r>
      <w:r w:rsidRPr="00A6382D">
        <w:rPr>
          <w:rFonts w:asciiTheme="minorHAnsi" w:hAnsiTheme="minorHAnsi" w:cstheme="minorHAnsi"/>
          <w:i/>
          <w:sz w:val="16"/>
          <w:szCs w:val="16"/>
        </w:rPr>
        <w:t>Selon les articles 7 et 8 du règlement délégué (UE) n° 231/2013 de la Commission du 19 décembre 2012</w:t>
      </w:r>
    </w:p>
  </w:footnote>
  <w:footnote w:id="10">
    <w:p w:rsidR="00374DC7" w:rsidRPr="00D20F0B" w:rsidRDefault="00374DC7"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ter du livre III du règlement général de l’AMF pour leur activité de gestion de FIA.</w:t>
      </w:r>
    </w:p>
  </w:footnote>
  <w:footnote w:id="11">
    <w:p w:rsidR="00374DC7" w:rsidRPr="00D20F0B" w:rsidRDefault="00374DC7"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2">
    <w:p w:rsidR="00374DC7" w:rsidRPr="00D20F0B" w:rsidRDefault="00374DC7"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w:t>
      </w:r>
    </w:p>
  </w:footnote>
  <w:footnote w:id="13">
    <w:p w:rsidR="00374DC7" w:rsidRPr="00D20F0B" w:rsidRDefault="00374DC7"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4">
    <w:p w:rsidR="00006F7E" w:rsidRPr="00870615" w:rsidRDefault="00006F7E" w:rsidP="00006F7E">
      <w:pPr>
        <w:jc w:val="both"/>
        <w:rPr>
          <w:rFonts w:ascii="Arial" w:hAnsi="Arial" w:cs="Arial"/>
          <w:sz w:val="18"/>
          <w:szCs w:val="18"/>
        </w:rPr>
      </w:pPr>
      <w:r w:rsidRPr="00006F7E">
        <w:rPr>
          <w:rFonts w:asciiTheme="minorHAnsi" w:hAnsiTheme="minorHAnsi" w:cstheme="minorHAnsi"/>
          <w:i/>
          <w:sz w:val="16"/>
          <w:szCs w:val="16"/>
          <w:vertAlign w:val="superscript"/>
        </w:rPr>
        <w:footnoteRef/>
      </w:r>
      <w:r w:rsidRPr="00006F7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15">
    <w:p w:rsidR="00E851F0" w:rsidRPr="00991587" w:rsidRDefault="00E851F0" w:rsidP="00991587">
      <w:pPr>
        <w:jc w:val="both"/>
        <w:rPr>
          <w:rFonts w:asciiTheme="minorHAnsi" w:hAnsiTheme="minorHAnsi" w:cstheme="minorHAnsi"/>
          <w:i/>
          <w:sz w:val="16"/>
          <w:szCs w:val="16"/>
        </w:rPr>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d’entrée ajustables acquis</w:t>
      </w:r>
    </w:p>
  </w:footnote>
  <w:footnote w:id="16">
    <w:p w:rsidR="00E851F0" w:rsidRDefault="00E851F0" w:rsidP="00991587">
      <w:pPr>
        <w:jc w:val="both"/>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 sortie ajustables acquis</w:t>
      </w:r>
    </w:p>
  </w:footnote>
  <w:footnote w:id="17">
    <w:p w:rsidR="00235A0F" w:rsidRPr="00235A0F" w:rsidRDefault="00235A0F" w:rsidP="00235A0F">
      <w:pPr>
        <w:jc w:val="both"/>
        <w:rPr>
          <w:rFonts w:asciiTheme="minorHAnsi" w:hAnsiTheme="minorHAnsi" w:cstheme="minorHAnsi"/>
          <w:i/>
          <w:sz w:val="16"/>
          <w:szCs w:val="16"/>
        </w:rPr>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de gestion financière sont détaillés dans la position-recommandation AMF DOC-2011-05</w:t>
      </w:r>
    </w:p>
  </w:footnote>
  <w:footnote w:id="18">
    <w:p w:rsidR="00235A0F" w:rsidRDefault="00235A0F" w:rsidP="00235A0F">
      <w:pPr>
        <w:jc w:val="both"/>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19">
    <w:p w:rsidR="00D06197" w:rsidRDefault="00D06197" w:rsidP="00D06197">
      <w:pPr>
        <w:jc w:val="both"/>
      </w:pPr>
      <w:r w:rsidRPr="00D06197">
        <w:rPr>
          <w:rFonts w:asciiTheme="minorHAnsi" w:hAnsiTheme="minorHAnsi" w:cstheme="minorHAnsi"/>
          <w:i/>
          <w:sz w:val="16"/>
          <w:szCs w:val="16"/>
          <w:vertAlign w:val="superscript"/>
        </w:rPr>
        <w:footnoteRef/>
      </w:r>
      <w:r w:rsidRPr="00D06197">
        <w:rPr>
          <w:rFonts w:asciiTheme="minorHAnsi" w:hAnsiTheme="minorHAnsi" w:cstheme="minorHAnsi"/>
          <w:i/>
          <w:sz w:val="16"/>
          <w:szCs w:val="16"/>
        </w:rPr>
        <w:t xml:space="preserve"> Cf. art. 16 paragraphe 4, c) du Règlement MMF</w:t>
      </w:r>
    </w:p>
  </w:footnote>
  <w:footnote w:id="20">
    <w:p w:rsidR="006D31EC" w:rsidRPr="006D31EC" w:rsidRDefault="006D31EC"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26 du Règlement MMF</w:t>
      </w:r>
    </w:p>
  </w:footnote>
  <w:footnote w:id="21">
    <w:p w:rsidR="006D31EC" w:rsidRPr="006D31EC" w:rsidRDefault="006D31EC"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33, paragraphe 2, dernier alinéa du Règlement MMF</w:t>
      </w:r>
    </w:p>
  </w:footnote>
  <w:footnote w:id="22">
    <w:p w:rsidR="006D31EC" w:rsidRDefault="006D31EC" w:rsidP="006D31EC">
      <w:pPr>
        <w:jc w:val="both"/>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rPr>
        <w:t xml:space="preserve"> Cf. art. 34, paragraphe 1 du Règlement MMF</w:t>
      </w:r>
    </w:p>
  </w:footnote>
  <w:footnote w:id="23">
    <w:p w:rsidR="001E1B9D" w:rsidRDefault="001E1B9D" w:rsidP="001E1B9D">
      <w:pPr>
        <w:jc w:val="both"/>
      </w:pPr>
      <w:r w:rsidRPr="001E1B9D">
        <w:rPr>
          <w:rFonts w:asciiTheme="minorHAnsi" w:hAnsiTheme="minorHAnsi" w:cstheme="minorHAnsi"/>
          <w:i/>
          <w:sz w:val="16"/>
          <w:szCs w:val="16"/>
          <w:vertAlign w:val="superscript"/>
        </w:rPr>
        <w:footnoteRef/>
      </w:r>
      <w:r w:rsidRPr="001E1B9D">
        <w:rPr>
          <w:rFonts w:asciiTheme="minorHAnsi" w:hAnsiTheme="minorHAnsi" w:cstheme="minorHAnsi"/>
          <w:i/>
          <w:sz w:val="16"/>
          <w:szCs w:val="16"/>
        </w:rPr>
        <w:t xml:space="preserve"> Cf. art. 36, paragraphe 5 et dernier alinéa du Règlement MMF</w:t>
      </w:r>
    </w:p>
  </w:footnote>
  <w:footnote w:id="24">
    <w:p w:rsidR="00A165CF" w:rsidRPr="00A165CF" w:rsidRDefault="00A165CF" w:rsidP="00A165CF">
      <w:pPr>
        <w:jc w:val="both"/>
        <w:rPr>
          <w:rFonts w:asciiTheme="minorHAnsi" w:hAnsiTheme="minorHAnsi" w:cstheme="minorHAnsi"/>
          <w:i/>
          <w:sz w:val="16"/>
          <w:szCs w:val="16"/>
        </w:rPr>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w:t>
      </w:r>
      <w:r w:rsidRPr="00A165CF">
        <w:rPr>
          <w:rFonts w:asciiTheme="minorHAnsi" w:hAnsiTheme="minorHAnsi" w:cstheme="minorHAnsi"/>
          <w:b/>
          <w:i/>
          <w:sz w:val="16"/>
          <w:szCs w:val="16"/>
          <w:u w:val="single"/>
        </w:rPr>
        <w:t>Cf. art. 36, paragraphe 5 et dernier alinéa du Règlement MMF</w:t>
      </w:r>
    </w:p>
  </w:footnote>
  <w:footnote w:id="25">
    <w:p w:rsidR="00A165CF" w:rsidRDefault="00A165CF" w:rsidP="00A165CF">
      <w:pPr>
        <w:jc w:val="both"/>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A1" w:rsidRDefault="00235A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C7" w:rsidRDefault="00374DC7">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374DC7" w:rsidRPr="00922AD8" w:rsidRDefault="00235AA1">
    <w:pPr>
      <w:pStyle w:val="En-tte"/>
      <w:rPr>
        <w:rFonts w:asciiTheme="minorHAnsi" w:hAnsiTheme="minorHAnsi" w:cstheme="minorHAnsi"/>
        <w:sz w:val="18"/>
        <w:szCs w:val="18"/>
      </w:rPr>
    </w:pPr>
    <w:r w:rsidRPr="00235AA1">
      <w:rPr>
        <w:rFonts w:asciiTheme="minorHAnsi" w:hAnsiTheme="minorHAnsi" w:cstheme="minorHAnsi"/>
        <w:iCs/>
        <w:sz w:val="18"/>
        <w:szCs w:val="18"/>
      </w:rPr>
      <w:t>Plan type du prospectus</w:t>
    </w:r>
    <w:r w:rsidR="00374DC7" w:rsidRPr="002544A7">
      <w:rPr>
        <w:rFonts w:asciiTheme="minorHAnsi" w:hAnsiTheme="minorHAnsi" w:cstheme="minorHAnsi"/>
        <w:sz w:val="18"/>
        <w:szCs w:val="18"/>
      </w:rPr>
      <w:t xml:space="preserve"> </w:t>
    </w:r>
    <w:r w:rsidR="00374DC7">
      <w:rPr>
        <w:rFonts w:asciiTheme="minorHAnsi" w:hAnsiTheme="minorHAnsi" w:cstheme="minorHAnsi"/>
        <w:sz w:val="18"/>
        <w:szCs w:val="18"/>
      </w:rPr>
      <w:t>–</w:t>
    </w:r>
    <w:r w:rsidR="00374DC7" w:rsidRPr="00922AD8">
      <w:rPr>
        <w:rFonts w:asciiTheme="minorHAnsi" w:hAnsiTheme="minorHAnsi" w:cstheme="minorHAnsi"/>
        <w:sz w:val="18"/>
        <w:szCs w:val="18"/>
      </w:rPr>
      <w:t xml:space="preserve"> </w:t>
    </w:r>
    <w:r w:rsidR="00374DC7">
      <w:rPr>
        <w:rFonts w:asciiTheme="minorHAnsi" w:hAnsiTheme="minorHAnsi" w:cstheme="minorHAnsi"/>
        <w:sz w:val="18"/>
        <w:szCs w:val="18"/>
      </w:rPr>
      <w:t xml:space="preserve">Annexe XIV de l’instruction AMF </w:t>
    </w:r>
    <w:r w:rsidR="00374DC7" w:rsidRPr="00922AD8">
      <w:rPr>
        <w:rFonts w:asciiTheme="minorHAnsi" w:hAnsiTheme="minorHAnsi" w:cstheme="minorHAnsi"/>
        <w:sz w:val="18"/>
        <w:szCs w:val="18"/>
      </w:rPr>
      <w:t>DOC-</w:t>
    </w:r>
    <w:r w:rsidR="00374DC7">
      <w:rPr>
        <w:rFonts w:asciiTheme="minorHAnsi" w:hAnsiTheme="minorHAnsi" w:cstheme="minorHAnsi"/>
        <w:sz w:val="18"/>
        <w:szCs w:val="18"/>
      </w:rPr>
      <w:t>2011</w:t>
    </w:r>
    <w:r w:rsidR="00374DC7" w:rsidRPr="00922AD8">
      <w:rPr>
        <w:rFonts w:asciiTheme="minorHAnsi" w:hAnsiTheme="minorHAnsi" w:cstheme="minorHAnsi"/>
        <w:sz w:val="18"/>
        <w:szCs w:val="18"/>
      </w:rPr>
      <w:t>-</w:t>
    </w:r>
    <w:r w:rsidR="00374DC7">
      <w:rPr>
        <w:rFonts w:asciiTheme="minorHAnsi" w:hAnsiTheme="minorHAnsi" w:cstheme="minorHAnsi"/>
        <w:sz w:val="18"/>
        <w:szCs w:val="18"/>
      </w:rPr>
      <w:t>20</w:t>
    </w:r>
    <w:r w:rsidR="00374DC7">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C7" w:rsidRDefault="00374DC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2pt" o:bullet="t">
        <v:imagedata r:id="rId1" o:title="Flêche_AMF_blc"/>
      </v:shape>
    </w:pict>
  </w:numPicBullet>
  <w:abstractNum w:abstractNumId="0" w15:restartNumberingAfterBreak="0">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2B"/>
    <w:multiLevelType w:val="multilevel"/>
    <w:tmpl w:val="894EE89D"/>
    <w:lvl w:ilvl="0">
      <w:start w:val="1"/>
      <w:numFmt w:val="bullet"/>
      <w:lvlText w:val="• "/>
      <w:lvlJc w:val="left"/>
      <w:pPr>
        <w:tabs>
          <w:tab w:val="num" w:pos="100"/>
        </w:tabs>
        <w:ind w:left="100" w:firstLine="620"/>
      </w:pPr>
      <w:rPr>
        <w:rFonts w:hint="default"/>
        <w:color w:val="000000"/>
        <w:position w:val="0"/>
        <w:sz w:val="24"/>
      </w:rPr>
    </w:lvl>
    <w:lvl w:ilvl="1">
      <w:start w:val="1"/>
      <w:numFmt w:val="bullet"/>
      <w:suff w:val="nothing"/>
      <w:lvlText w:val="*"/>
      <w:lvlJc w:val="left"/>
      <w:pPr>
        <w:ind w:left="-60" w:firstLine="0"/>
      </w:pPr>
      <w:rPr>
        <w:rFonts w:hint="default"/>
        <w:color w:val="000000"/>
        <w:position w:val="0"/>
        <w:sz w:val="24"/>
      </w:rPr>
    </w:lvl>
    <w:lvl w:ilvl="2">
      <w:start w:val="1"/>
      <w:numFmt w:val="bullet"/>
      <w:suff w:val="nothing"/>
      <w:lvlText w:val="*"/>
      <w:lvlJc w:val="left"/>
      <w:pPr>
        <w:ind w:left="-60" w:firstLine="0"/>
      </w:pPr>
      <w:rPr>
        <w:rFonts w:hint="default"/>
        <w:color w:val="000000"/>
        <w:position w:val="0"/>
        <w:sz w:val="24"/>
      </w:rPr>
    </w:lvl>
    <w:lvl w:ilvl="3">
      <w:start w:val="1"/>
      <w:numFmt w:val="bullet"/>
      <w:suff w:val="nothing"/>
      <w:lvlText w:val="*"/>
      <w:lvlJc w:val="left"/>
      <w:pPr>
        <w:ind w:left="-60" w:firstLine="0"/>
      </w:pPr>
      <w:rPr>
        <w:rFonts w:hint="default"/>
        <w:color w:val="000000"/>
        <w:position w:val="0"/>
        <w:sz w:val="24"/>
      </w:rPr>
    </w:lvl>
    <w:lvl w:ilvl="4">
      <w:start w:val="1"/>
      <w:numFmt w:val="bullet"/>
      <w:suff w:val="nothing"/>
      <w:lvlText w:val="*"/>
      <w:lvlJc w:val="left"/>
      <w:pPr>
        <w:ind w:left="-60" w:firstLine="0"/>
      </w:pPr>
      <w:rPr>
        <w:rFonts w:hint="default"/>
        <w:color w:val="000000"/>
        <w:position w:val="0"/>
        <w:sz w:val="24"/>
      </w:rPr>
    </w:lvl>
    <w:lvl w:ilvl="5">
      <w:start w:val="1"/>
      <w:numFmt w:val="bullet"/>
      <w:suff w:val="nothing"/>
      <w:lvlText w:val="*"/>
      <w:lvlJc w:val="left"/>
      <w:pPr>
        <w:ind w:left="-60" w:firstLine="0"/>
      </w:pPr>
      <w:rPr>
        <w:rFonts w:hint="default"/>
        <w:color w:val="000000"/>
        <w:position w:val="0"/>
        <w:sz w:val="24"/>
      </w:rPr>
    </w:lvl>
    <w:lvl w:ilvl="6">
      <w:start w:val="1"/>
      <w:numFmt w:val="bullet"/>
      <w:suff w:val="nothing"/>
      <w:lvlText w:val="*"/>
      <w:lvlJc w:val="left"/>
      <w:pPr>
        <w:ind w:left="-60" w:firstLine="0"/>
      </w:pPr>
      <w:rPr>
        <w:rFonts w:hint="default"/>
        <w:color w:val="000000"/>
        <w:position w:val="0"/>
        <w:sz w:val="24"/>
      </w:rPr>
    </w:lvl>
    <w:lvl w:ilvl="7">
      <w:start w:val="1"/>
      <w:numFmt w:val="bullet"/>
      <w:suff w:val="nothing"/>
      <w:lvlText w:val="*"/>
      <w:lvlJc w:val="left"/>
      <w:pPr>
        <w:ind w:left="-60" w:firstLine="0"/>
      </w:pPr>
      <w:rPr>
        <w:rFonts w:hint="default"/>
        <w:color w:val="000000"/>
        <w:position w:val="0"/>
        <w:sz w:val="24"/>
      </w:rPr>
    </w:lvl>
    <w:lvl w:ilvl="8">
      <w:start w:val="1"/>
      <w:numFmt w:val="bullet"/>
      <w:suff w:val="nothing"/>
      <w:lvlText w:val="*"/>
      <w:lvlJc w:val="left"/>
      <w:pPr>
        <w:ind w:left="-60" w:firstLine="0"/>
      </w:pPr>
      <w:rPr>
        <w:rFonts w:hint="default"/>
        <w:color w:val="000000"/>
        <w:position w:val="0"/>
        <w:sz w:val="24"/>
      </w:rPr>
    </w:lvl>
  </w:abstractNum>
  <w:abstractNum w:abstractNumId="2" w15:restartNumberingAfterBreak="0">
    <w:nsid w:val="0301730C"/>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CB1CC4"/>
    <w:multiLevelType w:val="hybridMultilevel"/>
    <w:tmpl w:val="39E09886"/>
    <w:lvl w:ilvl="0" w:tplc="65A29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2243E2"/>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2422F45"/>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F25FA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803516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93F3C3C"/>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47E08"/>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683340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323E2"/>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F84168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0FB3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BC5011"/>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AC00547"/>
    <w:multiLevelType w:val="hybridMultilevel"/>
    <w:tmpl w:val="52A88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FE0DB3"/>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AE4C2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9CF5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2B2568"/>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2679A"/>
    <w:multiLevelType w:val="hybridMultilevel"/>
    <w:tmpl w:val="A7F4CC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1E0E81"/>
    <w:multiLevelType w:val="multilevel"/>
    <w:tmpl w:val="9FD2AB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7FC7A73"/>
    <w:multiLevelType w:val="hybridMultilevel"/>
    <w:tmpl w:val="50C29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E15276"/>
    <w:multiLevelType w:val="hybridMultilevel"/>
    <w:tmpl w:val="953E0238"/>
    <w:lvl w:ilvl="0" w:tplc="040C0003">
      <w:start w:val="1"/>
      <w:numFmt w:val="bullet"/>
      <w:lvlText w:val="o"/>
      <w:lvlJc w:val="left"/>
      <w:pPr>
        <w:ind w:left="460" w:hanging="360"/>
      </w:pPr>
      <w:rPr>
        <w:rFonts w:ascii="Courier New" w:hAnsi="Courier New" w:cs="Courier New"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397A0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7"/>
  </w:num>
  <w:num w:numId="3">
    <w:abstractNumId w:val="10"/>
  </w:num>
  <w:num w:numId="4">
    <w:abstractNumId w:val="30"/>
  </w:num>
  <w:num w:numId="5">
    <w:abstractNumId w:val="33"/>
  </w:num>
  <w:num w:numId="6">
    <w:abstractNumId w:val="29"/>
  </w:num>
  <w:num w:numId="7">
    <w:abstractNumId w:val="21"/>
  </w:num>
  <w:num w:numId="8">
    <w:abstractNumId w:val="6"/>
  </w:num>
  <w:num w:numId="9">
    <w:abstractNumId w:val="18"/>
  </w:num>
  <w:num w:numId="10">
    <w:abstractNumId w:val="23"/>
  </w:num>
  <w:num w:numId="11">
    <w:abstractNumId w:val="14"/>
  </w:num>
  <w:num w:numId="12">
    <w:abstractNumId w:val="2"/>
  </w:num>
  <w:num w:numId="13">
    <w:abstractNumId w:val="16"/>
  </w:num>
  <w:num w:numId="14">
    <w:abstractNumId w:val="12"/>
  </w:num>
  <w:num w:numId="15">
    <w:abstractNumId w:val="15"/>
  </w:num>
  <w:num w:numId="16">
    <w:abstractNumId w:val="28"/>
  </w:num>
  <w:num w:numId="17">
    <w:abstractNumId w:val="32"/>
  </w:num>
  <w:num w:numId="18">
    <w:abstractNumId w:val="22"/>
  </w:num>
  <w:num w:numId="19">
    <w:abstractNumId w:val="5"/>
  </w:num>
  <w:num w:numId="20">
    <w:abstractNumId w:val="0"/>
  </w:num>
  <w:num w:numId="21">
    <w:abstractNumId w:val="35"/>
  </w:num>
  <w:num w:numId="22">
    <w:abstractNumId w:val="7"/>
  </w:num>
  <w:num w:numId="23">
    <w:abstractNumId w:val="9"/>
  </w:num>
  <w:num w:numId="24">
    <w:abstractNumId w:val="8"/>
  </w:num>
  <w:num w:numId="25">
    <w:abstractNumId w:val="1"/>
  </w:num>
  <w:num w:numId="26">
    <w:abstractNumId w:val="25"/>
  </w:num>
  <w:num w:numId="27">
    <w:abstractNumId w:val="11"/>
  </w:num>
  <w:num w:numId="28">
    <w:abstractNumId w:val="31"/>
  </w:num>
  <w:num w:numId="29">
    <w:abstractNumId w:val="20"/>
  </w:num>
  <w:num w:numId="30">
    <w:abstractNumId w:val="19"/>
  </w:num>
  <w:num w:numId="31">
    <w:abstractNumId w:val="13"/>
  </w:num>
  <w:num w:numId="32">
    <w:abstractNumId w:val="3"/>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F7E"/>
    <w:rsid w:val="0000727D"/>
    <w:rsid w:val="00013EA1"/>
    <w:rsid w:val="00030BC5"/>
    <w:rsid w:val="00041B0E"/>
    <w:rsid w:val="00043DC8"/>
    <w:rsid w:val="0005661B"/>
    <w:rsid w:val="00060F10"/>
    <w:rsid w:val="00061209"/>
    <w:rsid w:val="000627EC"/>
    <w:rsid w:val="000767FD"/>
    <w:rsid w:val="00081395"/>
    <w:rsid w:val="000B7F59"/>
    <w:rsid w:val="000E4889"/>
    <w:rsid w:val="000F3F43"/>
    <w:rsid w:val="00105E07"/>
    <w:rsid w:val="0012163B"/>
    <w:rsid w:val="0013025C"/>
    <w:rsid w:val="00133FF8"/>
    <w:rsid w:val="00140E6E"/>
    <w:rsid w:val="0015615E"/>
    <w:rsid w:val="00172D5F"/>
    <w:rsid w:val="001A2DE7"/>
    <w:rsid w:val="001B70AB"/>
    <w:rsid w:val="001B7E86"/>
    <w:rsid w:val="001D674C"/>
    <w:rsid w:val="001E1B9D"/>
    <w:rsid w:val="001E3859"/>
    <w:rsid w:val="0021029F"/>
    <w:rsid w:val="0023233D"/>
    <w:rsid w:val="00235A0F"/>
    <w:rsid w:val="00235AA1"/>
    <w:rsid w:val="002434A6"/>
    <w:rsid w:val="002544A7"/>
    <w:rsid w:val="00276550"/>
    <w:rsid w:val="0027765B"/>
    <w:rsid w:val="00284807"/>
    <w:rsid w:val="0029459F"/>
    <w:rsid w:val="002A32B4"/>
    <w:rsid w:val="002D1E4A"/>
    <w:rsid w:val="002F705A"/>
    <w:rsid w:val="00306729"/>
    <w:rsid w:val="003376C8"/>
    <w:rsid w:val="00340581"/>
    <w:rsid w:val="0034692F"/>
    <w:rsid w:val="00352657"/>
    <w:rsid w:val="00365120"/>
    <w:rsid w:val="0037132C"/>
    <w:rsid w:val="00374DC7"/>
    <w:rsid w:val="00390ED7"/>
    <w:rsid w:val="003B0015"/>
    <w:rsid w:val="003C05E0"/>
    <w:rsid w:val="003D0CBA"/>
    <w:rsid w:val="003E614D"/>
    <w:rsid w:val="003F2450"/>
    <w:rsid w:val="003F6F28"/>
    <w:rsid w:val="00403518"/>
    <w:rsid w:val="00410E01"/>
    <w:rsid w:val="0041710F"/>
    <w:rsid w:val="004375E3"/>
    <w:rsid w:val="00442C11"/>
    <w:rsid w:val="00460571"/>
    <w:rsid w:val="004C5A15"/>
    <w:rsid w:val="004D2BFC"/>
    <w:rsid w:val="004F606F"/>
    <w:rsid w:val="005009B5"/>
    <w:rsid w:val="00511597"/>
    <w:rsid w:val="005249BA"/>
    <w:rsid w:val="00545F4C"/>
    <w:rsid w:val="0057103B"/>
    <w:rsid w:val="00593EDE"/>
    <w:rsid w:val="005A0E3B"/>
    <w:rsid w:val="005A3248"/>
    <w:rsid w:val="005C1100"/>
    <w:rsid w:val="005C6282"/>
    <w:rsid w:val="005D705B"/>
    <w:rsid w:val="005F56D8"/>
    <w:rsid w:val="006122EF"/>
    <w:rsid w:val="006151C6"/>
    <w:rsid w:val="00627882"/>
    <w:rsid w:val="0066464A"/>
    <w:rsid w:val="0066529E"/>
    <w:rsid w:val="0067174A"/>
    <w:rsid w:val="00675ADD"/>
    <w:rsid w:val="00684FDF"/>
    <w:rsid w:val="006B232F"/>
    <w:rsid w:val="006C4987"/>
    <w:rsid w:val="006C5250"/>
    <w:rsid w:val="006D31EC"/>
    <w:rsid w:val="006D5AEC"/>
    <w:rsid w:val="006D72E7"/>
    <w:rsid w:val="006E6631"/>
    <w:rsid w:val="006E6B89"/>
    <w:rsid w:val="0070728C"/>
    <w:rsid w:val="007211C5"/>
    <w:rsid w:val="0072167A"/>
    <w:rsid w:val="007234F5"/>
    <w:rsid w:val="0075127A"/>
    <w:rsid w:val="00770CD6"/>
    <w:rsid w:val="007759C7"/>
    <w:rsid w:val="007A33F3"/>
    <w:rsid w:val="007A39C7"/>
    <w:rsid w:val="007C2CD0"/>
    <w:rsid w:val="0080359F"/>
    <w:rsid w:val="00815E8C"/>
    <w:rsid w:val="00826BA0"/>
    <w:rsid w:val="00835FC9"/>
    <w:rsid w:val="00852DFF"/>
    <w:rsid w:val="00857126"/>
    <w:rsid w:val="008659C1"/>
    <w:rsid w:val="008769AA"/>
    <w:rsid w:val="008A202D"/>
    <w:rsid w:val="008A64B6"/>
    <w:rsid w:val="008B0608"/>
    <w:rsid w:val="008B2E32"/>
    <w:rsid w:val="008C3995"/>
    <w:rsid w:val="008F52D7"/>
    <w:rsid w:val="00922AD8"/>
    <w:rsid w:val="00946BC2"/>
    <w:rsid w:val="009522A4"/>
    <w:rsid w:val="0095589C"/>
    <w:rsid w:val="0097706F"/>
    <w:rsid w:val="009912DA"/>
    <w:rsid w:val="00991587"/>
    <w:rsid w:val="009B2425"/>
    <w:rsid w:val="009D3188"/>
    <w:rsid w:val="009D35DA"/>
    <w:rsid w:val="009D7157"/>
    <w:rsid w:val="009F6A21"/>
    <w:rsid w:val="00A165CF"/>
    <w:rsid w:val="00A27D34"/>
    <w:rsid w:val="00A375FC"/>
    <w:rsid w:val="00A52761"/>
    <w:rsid w:val="00A63527"/>
    <w:rsid w:val="00A6382D"/>
    <w:rsid w:val="00A67D83"/>
    <w:rsid w:val="00A73032"/>
    <w:rsid w:val="00A8223D"/>
    <w:rsid w:val="00AA1F7C"/>
    <w:rsid w:val="00AC2B18"/>
    <w:rsid w:val="00AE69D0"/>
    <w:rsid w:val="00AF2129"/>
    <w:rsid w:val="00AF529B"/>
    <w:rsid w:val="00B14768"/>
    <w:rsid w:val="00B15C1A"/>
    <w:rsid w:val="00B426F4"/>
    <w:rsid w:val="00B51263"/>
    <w:rsid w:val="00B66AAD"/>
    <w:rsid w:val="00B920D4"/>
    <w:rsid w:val="00BD3326"/>
    <w:rsid w:val="00BF3676"/>
    <w:rsid w:val="00C04715"/>
    <w:rsid w:val="00C04973"/>
    <w:rsid w:val="00C07571"/>
    <w:rsid w:val="00C109BF"/>
    <w:rsid w:val="00C35DED"/>
    <w:rsid w:val="00C40BBE"/>
    <w:rsid w:val="00C6327E"/>
    <w:rsid w:val="00C74DFE"/>
    <w:rsid w:val="00C753B7"/>
    <w:rsid w:val="00C821DE"/>
    <w:rsid w:val="00C92C0A"/>
    <w:rsid w:val="00C96044"/>
    <w:rsid w:val="00CB45D7"/>
    <w:rsid w:val="00CB5177"/>
    <w:rsid w:val="00CD4213"/>
    <w:rsid w:val="00CE7EB5"/>
    <w:rsid w:val="00D06197"/>
    <w:rsid w:val="00D20F0B"/>
    <w:rsid w:val="00D24358"/>
    <w:rsid w:val="00D24737"/>
    <w:rsid w:val="00D310AF"/>
    <w:rsid w:val="00D52CFD"/>
    <w:rsid w:val="00D55321"/>
    <w:rsid w:val="00D80A91"/>
    <w:rsid w:val="00D960FE"/>
    <w:rsid w:val="00DC29CC"/>
    <w:rsid w:val="00DD0F5F"/>
    <w:rsid w:val="00DE7D4E"/>
    <w:rsid w:val="00E049BB"/>
    <w:rsid w:val="00E1204F"/>
    <w:rsid w:val="00E17D22"/>
    <w:rsid w:val="00E46668"/>
    <w:rsid w:val="00E54427"/>
    <w:rsid w:val="00E54DA9"/>
    <w:rsid w:val="00E553BA"/>
    <w:rsid w:val="00E66D10"/>
    <w:rsid w:val="00E74AAB"/>
    <w:rsid w:val="00E7509F"/>
    <w:rsid w:val="00E851F0"/>
    <w:rsid w:val="00EA0A25"/>
    <w:rsid w:val="00EC2534"/>
    <w:rsid w:val="00EC2E3F"/>
    <w:rsid w:val="00EC5689"/>
    <w:rsid w:val="00EF097D"/>
    <w:rsid w:val="00F00CFD"/>
    <w:rsid w:val="00F15CDD"/>
    <w:rsid w:val="00F2779B"/>
    <w:rsid w:val="00F31708"/>
    <w:rsid w:val="00F50702"/>
    <w:rsid w:val="00F61F0C"/>
    <w:rsid w:val="00F73C52"/>
    <w:rsid w:val="00F85752"/>
    <w:rsid w:val="00FD581D"/>
    <w:rsid w:val="00FE2E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7A39C7"/>
    <w:pPr>
      <w:keepNext/>
      <w:numPr>
        <w:numId w:val="1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7A39C7"/>
    <w:pPr>
      <w:keepNext/>
      <w:numPr>
        <w:ilvl w:val="1"/>
        <w:numId w:val="1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7A39C7"/>
    <w:pPr>
      <w:keepNext/>
      <w:numPr>
        <w:ilvl w:val="2"/>
        <w:numId w:val="18"/>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7A39C7"/>
    <w:pPr>
      <w:keepNext/>
      <w:numPr>
        <w:ilvl w:val="3"/>
        <w:numId w:val="1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character" w:customStyle="1" w:styleId="Titre1Car">
    <w:name w:val="Titre 1 Car"/>
    <w:basedOn w:val="Policepardfaut"/>
    <w:link w:val="Titre1"/>
    <w:rsid w:val="007A39C7"/>
    <w:rPr>
      <w:rFonts w:ascii="Arial" w:eastAsia="Times" w:hAnsi="Arial"/>
      <w:b/>
      <w:bCs/>
      <w:sz w:val="18"/>
      <w:szCs w:val="20"/>
    </w:rPr>
  </w:style>
  <w:style w:type="character" w:customStyle="1" w:styleId="Titre2Car">
    <w:name w:val="Titre 2 Car"/>
    <w:basedOn w:val="Policepardfaut"/>
    <w:link w:val="Titre2"/>
    <w:rsid w:val="007A39C7"/>
    <w:rPr>
      <w:rFonts w:ascii="Arial" w:eastAsia="Times" w:hAnsi="Arial"/>
      <w:sz w:val="18"/>
      <w:szCs w:val="20"/>
    </w:rPr>
  </w:style>
  <w:style w:type="character" w:customStyle="1" w:styleId="Titre3Car">
    <w:name w:val="Titre 3 Car"/>
    <w:basedOn w:val="Policepardfaut"/>
    <w:link w:val="Titre3"/>
    <w:rsid w:val="007A39C7"/>
    <w:rPr>
      <w:rFonts w:ascii="Arial" w:eastAsia="Times" w:hAnsi="Arial" w:cs="Arial"/>
      <w:bCs/>
      <w:sz w:val="18"/>
      <w:szCs w:val="26"/>
    </w:rPr>
  </w:style>
  <w:style w:type="character" w:customStyle="1" w:styleId="Titre4Car">
    <w:name w:val="Titre 4 Car"/>
    <w:basedOn w:val="Policepardfaut"/>
    <w:link w:val="Titre4"/>
    <w:rsid w:val="007A39C7"/>
    <w:rPr>
      <w:rFonts w:ascii="Arial" w:hAnsi="Arial"/>
      <w:i/>
      <w:iCs/>
      <w:sz w:val="18"/>
      <w:szCs w:val="20"/>
    </w:rPr>
  </w:style>
  <w:style w:type="table" w:styleId="Grilledutableau">
    <w:name w:val="Table Grid"/>
    <w:basedOn w:val="TableauNormal"/>
    <w:rsid w:val="000E4889"/>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2F7A-B240-4E98-814D-5222EA46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23</Pages>
  <Words>10577</Words>
  <Characters>58176</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145</cp:revision>
  <cp:lastPrinted>2010-11-05T13:58:00Z</cp:lastPrinted>
  <dcterms:created xsi:type="dcterms:W3CDTF">2019-09-13T11:58:00Z</dcterms:created>
  <dcterms:modified xsi:type="dcterms:W3CDTF">2019-11-22T10:47:00Z</dcterms:modified>
</cp:coreProperties>
</file>