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45E" w:rsidRDefault="00FE15F8" w:rsidP="00FA4162">
      <w:pPr>
        <w:spacing w:after="0" w:line="240" w:lineRule="auto"/>
        <w:jc w:val="center"/>
        <w:rPr>
          <w:rFonts w:ascii="Arial" w:hAnsi="Arial" w:cs="Arial"/>
          <w:b/>
          <w:sz w:val="24"/>
          <w:szCs w:val="24"/>
        </w:rPr>
      </w:pPr>
      <w:r>
        <w:rPr>
          <w:rFonts w:ascii="Arial" w:hAnsi="Arial"/>
          <w:b/>
          <w:sz w:val="24"/>
          <w:szCs w:val="24"/>
        </w:rPr>
        <w:t>Ombudsman’s Online Diary – July 2019 Case</w:t>
      </w:r>
    </w:p>
    <w:p w:rsidR="000B645E" w:rsidRDefault="000B645E" w:rsidP="00FA4162">
      <w:pPr>
        <w:spacing w:after="0" w:line="240" w:lineRule="auto"/>
        <w:jc w:val="center"/>
        <w:rPr>
          <w:rFonts w:ascii="Arial" w:hAnsi="Arial" w:cs="Arial"/>
          <w:b/>
          <w:sz w:val="24"/>
          <w:szCs w:val="24"/>
        </w:rPr>
      </w:pPr>
    </w:p>
    <w:p w:rsidR="00FE15F8" w:rsidRDefault="00FE15F8" w:rsidP="00FA4162">
      <w:pPr>
        <w:spacing w:after="0" w:line="240" w:lineRule="auto"/>
        <w:jc w:val="center"/>
        <w:rPr>
          <w:rFonts w:ascii="Arial" w:hAnsi="Arial" w:cs="Arial"/>
          <w:b/>
          <w:sz w:val="24"/>
          <w:szCs w:val="24"/>
        </w:rPr>
      </w:pPr>
    </w:p>
    <w:p w:rsidR="001E4767" w:rsidRDefault="00554169" w:rsidP="00FA4162">
      <w:pPr>
        <w:spacing w:after="0" w:line="240" w:lineRule="auto"/>
        <w:jc w:val="center"/>
        <w:rPr>
          <w:rFonts w:ascii="Arial" w:hAnsi="Arial" w:cs="Arial"/>
          <w:b/>
          <w:sz w:val="24"/>
          <w:szCs w:val="24"/>
        </w:rPr>
      </w:pPr>
      <w:r>
        <w:rPr>
          <w:rFonts w:ascii="Arial" w:hAnsi="Arial"/>
          <w:b/>
          <w:sz w:val="24"/>
          <w:szCs w:val="24"/>
        </w:rPr>
        <w:t xml:space="preserve">A specific </w:t>
      </w:r>
      <w:r w:rsidR="00FB2E09">
        <w:rPr>
          <w:rFonts w:ascii="Arial" w:hAnsi="Arial"/>
          <w:b/>
          <w:sz w:val="24"/>
          <w:szCs w:val="24"/>
        </w:rPr>
        <w:t>point</w:t>
      </w:r>
      <w:r>
        <w:rPr>
          <w:rFonts w:ascii="Arial" w:hAnsi="Arial"/>
          <w:b/>
          <w:sz w:val="24"/>
          <w:szCs w:val="24"/>
        </w:rPr>
        <w:t xml:space="preserve"> worth knowing when selling unlisted securities in an equity savings plan: what to do in case of a deferred payment?</w:t>
      </w:r>
    </w:p>
    <w:p w:rsidR="000B645E" w:rsidRDefault="000B645E" w:rsidP="00FA4162">
      <w:pPr>
        <w:spacing w:after="0" w:line="240" w:lineRule="auto"/>
        <w:jc w:val="center"/>
        <w:rPr>
          <w:rFonts w:ascii="Arial" w:hAnsi="Arial" w:cs="Arial"/>
          <w:b/>
          <w:sz w:val="24"/>
          <w:szCs w:val="24"/>
        </w:rPr>
      </w:pPr>
    </w:p>
    <w:p w:rsidR="000B645E" w:rsidRPr="00FA4162" w:rsidRDefault="000B645E" w:rsidP="00FA4162">
      <w:pPr>
        <w:spacing w:after="0" w:line="240" w:lineRule="auto"/>
        <w:jc w:val="center"/>
        <w:rPr>
          <w:rFonts w:ascii="Arial" w:hAnsi="Arial" w:cs="Arial"/>
          <w:b/>
          <w:sz w:val="24"/>
          <w:szCs w:val="24"/>
        </w:rPr>
      </w:pPr>
    </w:p>
    <w:p w:rsidR="00554169" w:rsidRPr="00FA4162" w:rsidRDefault="00554169" w:rsidP="00F50120">
      <w:pPr>
        <w:spacing w:after="0" w:line="240" w:lineRule="auto"/>
        <w:jc w:val="both"/>
        <w:rPr>
          <w:rFonts w:ascii="Arial" w:hAnsi="Arial" w:cs="Arial"/>
          <w:sz w:val="24"/>
          <w:szCs w:val="24"/>
        </w:rPr>
      </w:pPr>
    </w:p>
    <w:p w:rsidR="000561A8" w:rsidRPr="00FA4162" w:rsidRDefault="00F36282" w:rsidP="00F50120">
      <w:pPr>
        <w:spacing w:after="0" w:line="240" w:lineRule="auto"/>
        <w:jc w:val="both"/>
        <w:rPr>
          <w:rFonts w:ascii="Arial" w:hAnsi="Arial" w:cs="Arial"/>
          <w:sz w:val="24"/>
          <w:szCs w:val="24"/>
        </w:rPr>
      </w:pPr>
      <w:r>
        <w:rPr>
          <w:rFonts w:ascii="Arial" w:hAnsi="Arial"/>
          <w:sz w:val="24"/>
          <w:szCs w:val="24"/>
        </w:rPr>
        <w:t>Tax rules concerning the payment of the transfer price of unlisted securities held in a</w:t>
      </w:r>
      <w:r w:rsidR="002A1642">
        <w:rPr>
          <w:rFonts w:ascii="Arial" w:hAnsi="Arial"/>
          <w:sz w:val="24"/>
          <w:szCs w:val="24"/>
        </w:rPr>
        <w:t xml:space="preserve"> French </w:t>
      </w:r>
      <w:r>
        <w:rPr>
          <w:rFonts w:ascii="Arial" w:hAnsi="Arial"/>
          <w:sz w:val="24"/>
          <w:szCs w:val="24"/>
        </w:rPr>
        <w:t xml:space="preserve">equity savings plan (PEA) are very clear. The information provided by the account keeper to </w:t>
      </w:r>
      <w:r w:rsidR="00FB2E09">
        <w:rPr>
          <w:rFonts w:ascii="Arial" w:hAnsi="Arial"/>
          <w:sz w:val="24"/>
          <w:szCs w:val="24"/>
        </w:rPr>
        <w:t>its client must be just as clear</w:t>
      </w:r>
      <w:r>
        <w:rPr>
          <w:rFonts w:ascii="Arial" w:hAnsi="Arial"/>
          <w:sz w:val="24"/>
          <w:szCs w:val="24"/>
        </w:rPr>
        <w:t xml:space="preserve"> to avoid all risks of misleading the client. This is because the </w:t>
      </w:r>
      <w:r w:rsidR="00934FDA">
        <w:rPr>
          <w:rFonts w:ascii="Arial" w:hAnsi="Arial"/>
          <w:sz w:val="24"/>
          <w:szCs w:val="24"/>
        </w:rPr>
        <w:t xml:space="preserve">transfer </w:t>
      </w:r>
      <w:r>
        <w:rPr>
          <w:rFonts w:ascii="Arial" w:hAnsi="Arial"/>
          <w:sz w:val="24"/>
          <w:szCs w:val="24"/>
        </w:rPr>
        <w:t>price must be paid in full, within two months after the transfer, without fail.</w:t>
      </w:r>
    </w:p>
    <w:p w:rsidR="00F50120" w:rsidRPr="00FA4162" w:rsidRDefault="00730918" w:rsidP="00F50120">
      <w:pPr>
        <w:spacing w:after="0" w:line="240" w:lineRule="auto"/>
        <w:jc w:val="both"/>
        <w:rPr>
          <w:rFonts w:ascii="Arial" w:hAnsi="Arial" w:cs="Arial"/>
          <w:sz w:val="24"/>
          <w:szCs w:val="24"/>
        </w:rPr>
      </w:pPr>
      <w:r>
        <w:rPr>
          <w:rFonts w:ascii="Arial" w:hAnsi="Arial"/>
          <w:sz w:val="24"/>
          <w:szCs w:val="24"/>
        </w:rPr>
        <w:t>Although the client selling the securities can make a deferred payment of the transfer price</w:t>
      </w:r>
      <w:r w:rsidR="006B3D0E">
        <w:rPr>
          <w:rFonts w:ascii="Arial" w:hAnsi="Arial"/>
          <w:sz w:val="24"/>
          <w:szCs w:val="24"/>
        </w:rPr>
        <w:t>,</w:t>
      </w:r>
      <w:r w:rsidR="00A57F52" w:rsidRPr="00FA4162">
        <w:rPr>
          <w:rStyle w:val="Appelnotedebasdep"/>
          <w:rFonts w:ascii="Arial" w:hAnsi="Arial" w:cs="Arial"/>
          <w:sz w:val="24"/>
          <w:szCs w:val="24"/>
        </w:rPr>
        <w:footnoteReference w:id="1"/>
      </w:r>
      <w:r>
        <w:rPr>
          <w:rFonts w:ascii="Arial" w:hAnsi="Arial"/>
          <w:sz w:val="24"/>
          <w:szCs w:val="24"/>
        </w:rPr>
        <w:t xml:space="preserve"> he or she must in th</w:t>
      </w:r>
      <w:r w:rsidR="006B3D0E">
        <w:rPr>
          <w:rFonts w:ascii="Arial" w:hAnsi="Arial"/>
          <w:sz w:val="24"/>
          <w:szCs w:val="24"/>
        </w:rPr>
        <w:t>at</w:t>
      </w:r>
      <w:r>
        <w:rPr>
          <w:rFonts w:ascii="Arial" w:hAnsi="Arial"/>
          <w:sz w:val="24"/>
          <w:szCs w:val="24"/>
        </w:rPr>
        <w:t xml:space="preserve"> case pay a sum equivalent to the share of the deferred price in the equity savings plan. </w:t>
      </w:r>
      <w:r w:rsidR="006B3D0E">
        <w:rPr>
          <w:rFonts w:ascii="Arial" w:hAnsi="Arial"/>
          <w:sz w:val="24"/>
          <w:szCs w:val="24"/>
        </w:rPr>
        <w:t>Otherwise</w:t>
      </w:r>
      <w:r>
        <w:rPr>
          <w:rFonts w:ascii="Arial" w:hAnsi="Arial"/>
          <w:sz w:val="24"/>
          <w:szCs w:val="24"/>
        </w:rPr>
        <w:t>, the plan will be closed.</w:t>
      </w:r>
    </w:p>
    <w:p w:rsidR="00F50120" w:rsidRPr="00FA4162" w:rsidRDefault="00F50120" w:rsidP="00F50120">
      <w:pPr>
        <w:spacing w:after="0" w:line="240" w:lineRule="auto"/>
        <w:jc w:val="both"/>
        <w:rPr>
          <w:rFonts w:ascii="Arial" w:hAnsi="Arial" w:cs="Arial"/>
          <w:sz w:val="24"/>
          <w:szCs w:val="24"/>
        </w:rPr>
      </w:pPr>
    </w:p>
    <w:p w:rsidR="00554169" w:rsidRPr="00FA4162" w:rsidRDefault="004A1F6B" w:rsidP="00F50120">
      <w:pPr>
        <w:spacing w:after="0" w:line="240" w:lineRule="auto"/>
        <w:jc w:val="both"/>
        <w:rPr>
          <w:rFonts w:ascii="Arial" w:hAnsi="Arial" w:cs="Arial"/>
          <w:b/>
          <w:sz w:val="24"/>
          <w:szCs w:val="24"/>
        </w:rPr>
      </w:pPr>
      <w:r>
        <w:rPr>
          <w:rFonts w:ascii="Arial" w:hAnsi="Arial"/>
          <w:b/>
          <w:sz w:val="24"/>
          <w:szCs w:val="24"/>
        </w:rPr>
        <w:t>The facts</w:t>
      </w:r>
    </w:p>
    <w:p w:rsidR="00BC06FA" w:rsidRPr="00FA4162" w:rsidRDefault="00BC06FA" w:rsidP="00F50120">
      <w:pPr>
        <w:spacing w:after="0" w:line="240" w:lineRule="auto"/>
        <w:jc w:val="both"/>
        <w:rPr>
          <w:rFonts w:ascii="Arial" w:hAnsi="Arial" w:cs="Arial"/>
          <w:b/>
          <w:sz w:val="24"/>
          <w:szCs w:val="24"/>
        </w:rPr>
      </w:pPr>
    </w:p>
    <w:p w:rsidR="000561A8" w:rsidRPr="00634F2C" w:rsidRDefault="00634F2C" w:rsidP="00F50120">
      <w:pPr>
        <w:spacing w:after="0" w:line="240" w:lineRule="auto"/>
        <w:jc w:val="both"/>
        <w:rPr>
          <w:rFonts w:ascii="Arial" w:hAnsi="Arial" w:cs="Arial"/>
          <w:sz w:val="24"/>
          <w:szCs w:val="24"/>
        </w:rPr>
      </w:pPr>
      <w:r>
        <w:rPr>
          <w:rFonts w:ascii="Arial" w:hAnsi="Arial"/>
          <w:sz w:val="24"/>
          <w:szCs w:val="24"/>
        </w:rPr>
        <w:t>Mr. X. owned unlisted securities in an equity savings plan. After selling these securities</w:t>
      </w:r>
      <w:r w:rsidR="00FB2E09">
        <w:rPr>
          <w:rFonts w:ascii="Arial" w:hAnsi="Arial"/>
          <w:sz w:val="24"/>
          <w:szCs w:val="24"/>
        </w:rPr>
        <w:t xml:space="preserve">, his account keeper closed the </w:t>
      </w:r>
      <w:r>
        <w:rPr>
          <w:rFonts w:ascii="Arial" w:hAnsi="Arial"/>
          <w:sz w:val="24"/>
          <w:szCs w:val="24"/>
        </w:rPr>
        <w:t>plan. Mr. X. considers that this was a discretionary decision and has asked for the plan to be reopened</w:t>
      </w:r>
      <w:r w:rsidR="006B3D0E">
        <w:rPr>
          <w:rFonts w:ascii="Arial" w:hAnsi="Arial"/>
          <w:sz w:val="24"/>
          <w:szCs w:val="24"/>
        </w:rPr>
        <w:t>. He</w:t>
      </w:r>
      <w:r>
        <w:rPr>
          <w:rFonts w:ascii="Arial" w:hAnsi="Arial"/>
          <w:sz w:val="24"/>
          <w:szCs w:val="24"/>
        </w:rPr>
        <w:t xml:space="preserve"> referred the case to me. </w:t>
      </w:r>
    </w:p>
    <w:p w:rsidR="00634F2C" w:rsidRPr="00FA4162" w:rsidRDefault="00634F2C" w:rsidP="00F50120">
      <w:pPr>
        <w:spacing w:after="0" w:line="240" w:lineRule="auto"/>
        <w:jc w:val="both"/>
        <w:rPr>
          <w:rFonts w:ascii="Arial" w:hAnsi="Arial" w:cs="Arial"/>
          <w:b/>
          <w:sz w:val="24"/>
          <w:szCs w:val="24"/>
        </w:rPr>
      </w:pPr>
    </w:p>
    <w:p w:rsidR="004A1F6B" w:rsidRPr="00FA4162" w:rsidRDefault="004A1F6B" w:rsidP="00F50120">
      <w:pPr>
        <w:spacing w:after="0" w:line="240" w:lineRule="auto"/>
        <w:jc w:val="both"/>
        <w:rPr>
          <w:rFonts w:ascii="Arial" w:hAnsi="Arial" w:cs="Arial"/>
          <w:b/>
          <w:sz w:val="24"/>
          <w:szCs w:val="24"/>
        </w:rPr>
      </w:pPr>
      <w:r>
        <w:rPr>
          <w:rFonts w:ascii="Arial" w:hAnsi="Arial"/>
          <w:b/>
          <w:sz w:val="24"/>
          <w:szCs w:val="24"/>
        </w:rPr>
        <w:t xml:space="preserve">The investigation </w:t>
      </w:r>
    </w:p>
    <w:p w:rsidR="004A1F6B" w:rsidRPr="00FA4162" w:rsidRDefault="004A1F6B" w:rsidP="00F50120">
      <w:pPr>
        <w:spacing w:after="0" w:line="240" w:lineRule="auto"/>
        <w:jc w:val="both"/>
        <w:rPr>
          <w:rFonts w:ascii="Arial" w:hAnsi="Arial" w:cs="Arial"/>
          <w:b/>
          <w:sz w:val="24"/>
          <w:szCs w:val="24"/>
        </w:rPr>
      </w:pPr>
    </w:p>
    <w:p w:rsidR="00634F2C" w:rsidRDefault="00634F2C" w:rsidP="00A4478C">
      <w:pPr>
        <w:spacing w:after="0" w:line="240" w:lineRule="auto"/>
        <w:jc w:val="both"/>
        <w:rPr>
          <w:rFonts w:ascii="Arial" w:hAnsi="Arial" w:cs="Arial"/>
          <w:sz w:val="24"/>
          <w:szCs w:val="24"/>
        </w:rPr>
      </w:pPr>
      <w:r>
        <w:rPr>
          <w:rFonts w:ascii="Arial" w:hAnsi="Arial"/>
          <w:sz w:val="24"/>
          <w:szCs w:val="24"/>
        </w:rPr>
        <w:t xml:space="preserve">I queried the bank about the closing of the savings plan and was informed that this </w:t>
      </w:r>
      <w:r w:rsidR="00FB2E09">
        <w:rPr>
          <w:rFonts w:ascii="Arial" w:hAnsi="Arial"/>
          <w:sz w:val="24"/>
          <w:szCs w:val="24"/>
        </w:rPr>
        <w:t xml:space="preserve">had been </w:t>
      </w:r>
      <w:r>
        <w:rPr>
          <w:rFonts w:ascii="Arial" w:hAnsi="Arial"/>
          <w:sz w:val="24"/>
          <w:szCs w:val="24"/>
        </w:rPr>
        <w:t xml:space="preserve">done because on 30 September 2015, Mr. X. had sold the unlisted shares that he held in his equity savings plan, with a payment in two instalments, without deeming it necessary to inform the bank of this. </w:t>
      </w:r>
    </w:p>
    <w:p w:rsidR="00A4478C" w:rsidRPr="00FA4162" w:rsidRDefault="006B3D0E" w:rsidP="00A4478C">
      <w:pPr>
        <w:spacing w:after="0" w:line="240" w:lineRule="auto"/>
        <w:jc w:val="both"/>
        <w:rPr>
          <w:rFonts w:ascii="Arial" w:hAnsi="Arial" w:cs="Arial"/>
          <w:sz w:val="24"/>
          <w:szCs w:val="24"/>
        </w:rPr>
      </w:pPr>
      <w:r>
        <w:rPr>
          <w:rFonts w:ascii="Arial" w:hAnsi="Arial"/>
          <w:sz w:val="24"/>
          <w:szCs w:val="24"/>
        </w:rPr>
        <w:t>A</w:t>
      </w:r>
      <w:r w:rsidR="00A4478C">
        <w:rPr>
          <w:rFonts w:ascii="Arial" w:hAnsi="Arial"/>
          <w:sz w:val="24"/>
          <w:szCs w:val="24"/>
        </w:rPr>
        <w:t xml:space="preserve">fter the first receipt of the proceeds of the sale of his shares on 30 September 2015, </w:t>
      </w:r>
      <w:r>
        <w:rPr>
          <w:rFonts w:ascii="Arial" w:hAnsi="Arial"/>
          <w:sz w:val="24"/>
          <w:szCs w:val="24"/>
        </w:rPr>
        <w:t>Mr. X. had indeed</w:t>
      </w:r>
      <w:r>
        <w:rPr>
          <w:rFonts w:ascii="Arial" w:hAnsi="Arial"/>
          <w:sz w:val="24"/>
          <w:szCs w:val="24"/>
        </w:rPr>
        <w:t xml:space="preserve"> </w:t>
      </w:r>
      <w:r w:rsidR="00A4478C">
        <w:rPr>
          <w:rFonts w:ascii="Arial" w:hAnsi="Arial"/>
          <w:sz w:val="24"/>
          <w:szCs w:val="24"/>
        </w:rPr>
        <w:t xml:space="preserve">paid back the proceeds of the transfer on the same day, after receiving the payment. He did not think that the deferred nature of this payment could result in a tax irregularity </w:t>
      </w:r>
      <w:r w:rsidR="00FB2E09">
        <w:rPr>
          <w:rFonts w:ascii="Arial" w:hAnsi="Arial"/>
          <w:sz w:val="24"/>
          <w:szCs w:val="24"/>
        </w:rPr>
        <w:t>involving</w:t>
      </w:r>
      <w:r w:rsidR="00A4478C">
        <w:rPr>
          <w:rFonts w:ascii="Arial" w:hAnsi="Arial"/>
          <w:sz w:val="24"/>
          <w:szCs w:val="24"/>
        </w:rPr>
        <w:t xml:space="preserve"> his equity savings plan.</w:t>
      </w:r>
    </w:p>
    <w:p w:rsidR="00A4478C" w:rsidRPr="00FA4162" w:rsidRDefault="00A4478C" w:rsidP="00A4478C">
      <w:pPr>
        <w:spacing w:after="0" w:line="240" w:lineRule="auto"/>
        <w:jc w:val="both"/>
        <w:rPr>
          <w:rFonts w:ascii="Arial" w:hAnsi="Arial" w:cs="Arial"/>
          <w:sz w:val="24"/>
          <w:szCs w:val="24"/>
        </w:rPr>
      </w:pPr>
    </w:p>
    <w:p w:rsidR="00A4478C" w:rsidRPr="00FA4162" w:rsidRDefault="00634F2C" w:rsidP="00A4478C">
      <w:pPr>
        <w:spacing w:after="0" w:line="240" w:lineRule="auto"/>
        <w:jc w:val="both"/>
        <w:rPr>
          <w:rFonts w:ascii="Arial" w:hAnsi="Arial" w:cs="Arial"/>
          <w:sz w:val="24"/>
          <w:szCs w:val="24"/>
        </w:rPr>
      </w:pPr>
      <w:r>
        <w:rPr>
          <w:rFonts w:ascii="Arial" w:hAnsi="Arial"/>
          <w:sz w:val="24"/>
          <w:szCs w:val="24"/>
        </w:rPr>
        <w:t>However, the French official tax bulletin (</w:t>
      </w:r>
      <w:r w:rsidRPr="00FB2E09">
        <w:rPr>
          <w:rFonts w:ascii="Arial" w:hAnsi="Arial"/>
          <w:i/>
          <w:sz w:val="24"/>
          <w:szCs w:val="24"/>
        </w:rPr>
        <w:t xml:space="preserve">Bulletin </w:t>
      </w:r>
      <w:proofErr w:type="spellStart"/>
      <w:r w:rsidRPr="00FB2E09">
        <w:rPr>
          <w:rFonts w:ascii="Arial" w:hAnsi="Arial"/>
          <w:i/>
          <w:sz w:val="24"/>
          <w:szCs w:val="24"/>
        </w:rPr>
        <w:t>Officiel</w:t>
      </w:r>
      <w:proofErr w:type="spellEnd"/>
      <w:r w:rsidRPr="00FB2E09">
        <w:rPr>
          <w:rFonts w:ascii="Arial" w:hAnsi="Arial"/>
          <w:i/>
          <w:sz w:val="24"/>
          <w:szCs w:val="24"/>
        </w:rPr>
        <w:t xml:space="preserve"> des </w:t>
      </w:r>
      <w:proofErr w:type="spellStart"/>
      <w:r w:rsidRPr="00FB2E09">
        <w:rPr>
          <w:rFonts w:ascii="Arial" w:hAnsi="Arial"/>
          <w:i/>
          <w:sz w:val="24"/>
          <w:szCs w:val="24"/>
        </w:rPr>
        <w:t>Impôts</w:t>
      </w:r>
      <w:proofErr w:type="spellEnd"/>
      <w:r>
        <w:rPr>
          <w:rFonts w:ascii="Arial" w:hAnsi="Arial"/>
          <w:sz w:val="24"/>
          <w:szCs w:val="24"/>
        </w:rPr>
        <w:t xml:space="preserve">) </w:t>
      </w:r>
      <w:r w:rsidR="006B3D0E">
        <w:rPr>
          <w:rFonts w:ascii="Arial" w:hAnsi="Arial"/>
          <w:sz w:val="24"/>
          <w:szCs w:val="24"/>
        </w:rPr>
        <w:t xml:space="preserve">clearly </w:t>
      </w:r>
      <w:r>
        <w:rPr>
          <w:rFonts w:ascii="Arial" w:hAnsi="Arial"/>
          <w:sz w:val="24"/>
          <w:szCs w:val="24"/>
        </w:rPr>
        <w:t>specifies that the full proceeds from the sale must be paid back to the equity savings plan, as soon as the transfer of the securities has been completed. In the event of a staggered or deferred payment,</w:t>
      </w:r>
      <w:r w:rsidR="006B3D0E">
        <w:rPr>
          <w:rFonts w:ascii="Arial" w:hAnsi="Arial"/>
          <w:sz w:val="24"/>
          <w:szCs w:val="24"/>
        </w:rPr>
        <w:t xml:space="preserve"> </w:t>
      </w:r>
      <w:r>
        <w:rPr>
          <w:rFonts w:ascii="Arial" w:hAnsi="Arial"/>
          <w:sz w:val="24"/>
          <w:szCs w:val="24"/>
        </w:rPr>
        <w:t>it is specified that the holder of the plan must cover the price difference not yet paid with a cash payment to ensure that the total sum of the proceeds from the sale is placed in the equity savings plan:</w:t>
      </w:r>
    </w:p>
    <w:p w:rsidR="00A4478C" w:rsidRPr="00FA4162" w:rsidRDefault="00A4478C" w:rsidP="00A4478C">
      <w:pPr>
        <w:spacing w:after="0" w:line="240" w:lineRule="auto"/>
        <w:jc w:val="both"/>
        <w:rPr>
          <w:rFonts w:ascii="Arial" w:hAnsi="Arial" w:cs="Arial"/>
          <w:sz w:val="24"/>
          <w:szCs w:val="24"/>
        </w:rPr>
      </w:pPr>
    </w:p>
    <w:p w:rsidR="00A4478C" w:rsidRPr="00FA4162" w:rsidRDefault="00A4478C" w:rsidP="00A4478C">
      <w:pPr>
        <w:pStyle w:val="Paragraphedeliste"/>
        <w:ind w:right="850"/>
        <w:jc w:val="both"/>
        <w:rPr>
          <w:rFonts w:ascii="Arial" w:hAnsi="Arial" w:cs="Arial"/>
          <w:i/>
          <w:sz w:val="24"/>
          <w:szCs w:val="24"/>
        </w:rPr>
      </w:pPr>
      <w:r>
        <w:rPr>
          <w:rFonts w:ascii="Arial" w:hAnsi="Arial"/>
          <w:i/>
          <w:iCs/>
          <w:sz w:val="24"/>
          <w:szCs w:val="24"/>
        </w:rPr>
        <w:t>“When the sale price of the securities listed on a PEA is subject to a deferred or staggered payment, this transaction is considered as a divestment which in principle entails the closure of the plan</w:t>
      </w:r>
      <w:r>
        <w:rPr>
          <w:rFonts w:ascii="Arial" w:hAnsi="Arial"/>
          <w:sz w:val="24"/>
          <w:szCs w:val="24"/>
        </w:rPr>
        <w:t>.</w:t>
      </w:r>
    </w:p>
    <w:p w:rsidR="00A4478C" w:rsidRPr="00FA4162" w:rsidRDefault="00A4478C" w:rsidP="00A4478C">
      <w:pPr>
        <w:pStyle w:val="Paragraphedeliste"/>
        <w:ind w:right="850"/>
        <w:jc w:val="both"/>
        <w:rPr>
          <w:rFonts w:ascii="Arial" w:hAnsi="Arial" w:cs="Arial"/>
          <w:i/>
          <w:sz w:val="24"/>
          <w:szCs w:val="24"/>
        </w:rPr>
      </w:pPr>
    </w:p>
    <w:p w:rsidR="00A4478C" w:rsidRPr="00FA4162" w:rsidRDefault="00A4478C" w:rsidP="00A4478C">
      <w:pPr>
        <w:pStyle w:val="Paragraphedeliste"/>
        <w:ind w:right="850"/>
        <w:jc w:val="both"/>
        <w:rPr>
          <w:rFonts w:ascii="Arial" w:hAnsi="Arial" w:cs="Arial"/>
          <w:sz w:val="24"/>
          <w:szCs w:val="24"/>
        </w:rPr>
      </w:pPr>
      <w:r>
        <w:rPr>
          <w:rFonts w:ascii="Arial" w:hAnsi="Arial"/>
          <w:i/>
          <w:iCs/>
          <w:sz w:val="24"/>
          <w:szCs w:val="24"/>
        </w:rPr>
        <w:t xml:space="preserve">However, in this event, and </w:t>
      </w:r>
      <w:proofErr w:type="gramStart"/>
      <w:r>
        <w:rPr>
          <w:rFonts w:ascii="Arial" w:hAnsi="Arial"/>
          <w:i/>
          <w:iCs/>
          <w:sz w:val="24"/>
          <w:szCs w:val="24"/>
        </w:rPr>
        <w:t>in order to</w:t>
      </w:r>
      <w:proofErr w:type="gramEnd"/>
      <w:r>
        <w:rPr>
          <w:rFonts w:ascii="Arial" w:hAnsi="Arial"/>
          <w:i/>
          <w:iCs/>
          <w:sz w:val="24"/>
          <w:szCs w:val="24"/>
        </w:rPr>
        <w:t xml:space="preserve"> avoid the closure of the plan, the holder of the equity savings plan may, within two months after the </w:t>
      </w:r>
      <w:r>
        <w:rPr>
          <w:rFonts w:ascii="Arial" w:hAnsi="Arial"/>
          <w:i/>
          <w:iCs/>
          <w:sz w:val="24"/>
          <w:szCs w:val="24"/>
        </w:rPr>
        <w:lastRenderedPageBreak/>
        <w:t>transfer, make a cash payment to the credit of the cash account of the equity savings plan,</w:t>
      </w:r>
      <w:r>
        <w:rPr>
          <w:rFonts w:ascii="Arial" w:hAnsi="Arial"/>
          <w:i/>
          <w:sz w:val="24"/>
          <w:szCs w:val="24"/>
        </w:rPr>
        <w:t xml:space="preserve"> equivalent to the deferred portion of the transfer price</w:t>
      </w:r>
      <w:r>
        <w:rPr>
          <w:rFonts w:ascii="Arial" w:hAnsi="Arial"/>
          <w:sz w:val="24"/>
          <w:szCs w:val="24"/>
        </w:rPr>
        <w:t>.</w:t>
      </w:r>
      <w:r w:rsidR="006B3D0E">
        <w:rPr>
          <w:rFonts w:ascii="Arial" w:hAnsi="Arial"/>
          <w:sz w:val="24"/>
          <w:szCs w:val="24"/>
        </w:rPr>
        <w:t>”</w:t>
      </w:r>
      <w:r w:rsidR="00CC061C">
        <w:rPr>
          <w:rStyle w:val="Appelnotedebasdep"/>
          <w:rFonts w:ascii="Arial" w:hAnsi="Arial" w:cs="Arial"/>
          <w:sz w:val="24"/>
          <w:szCs w:val="24"/>
        </w:rPr>
        <w:footnoteReference w:id="2"/>
      </w:r>
    </w:p>
    <w:p w:rsidR="00A4478C" w:rsidRPr="00FA4162" w:rsidRDefault="00A4478C" w:rsidP="00A4478C">
      <w:pPr>
        <w:spacing w:after="0" w:line="240" w:lineRule="auto"/>
        <w:jc w:val="both"/>
        <w:rPr>
          <w:rFonts w:ascii="Arial" w:hAnsi="Arial" w:cs="Arial"/>
          <w:sz w:val="24"/>
          <w:szCs w:val="24"/>
        </w:rPr>
      </w:pPr>
    </w:p>
    <w:p w:rsidR="00A4478C" w:rsidRPr="00FA4162" w:rsidRDefault="00A4478C" w:rsidP="00A4478C">
      <w:pPr>
        <w:spacing w:after="0" w:line="240" w:lineRule="auto"/>
        <w:jc w:val="both"/>
        <w:rPr>
          <w:rFonts w:ascii="Arial" w:hAnsi="Arial" w:cs="Arial"/>
          <w:sz w:val="24"/>
          <w:szCs w:val="24"/>
        </w:rPr>
      </w:pPr>
      <w:r>
        <w:rPr>
          <w:rFonts w:ascii="Arial" w:hAnsi="Arial"/>
          <w:sz w:val="24"/>
          <w:szCs w:val="24"/>
        </w:rPr>
        <w:t xml:space="preserve">I pointed out to the bank that the specific letter </w:t>
      </w:r>
      <w:r w:rsidR="00FB2E09">
        <w:rPr>
          <w:rFonts w:ascii="Arial" w:hAnsi="Arial"/>
          <w:sz w:val="24"/>
          <w:szCs w:val="24"/>
        </w:rPr>
        <w:t xml:space="preserve">of commitment </w:t>
      </w:r>
      <w:r>
        <w:rPr>
          <w:rFonts w:ascii="Arial" w:hAnsi="Arial"/>
          <w:sz w:val="24"/>
          <w:szCs w:val="24"/>
        </w:rPr>
        <w:t xml:space="preserve">signed by Mr. X when he subscribed for his unlisted securities only mentioned the obligation to pay </w:t>
      </w:r>
      <w:r w:rsidR="006B3D0E">
        <w:rPr>
          <w:rFonts w:ascii="Arial" w:hAnsi="Arial"/>
          <w:sz w:val="24"/>
          <w:szCs w:val="24"/>
        </w:rPr>
        <w:t>the proceeds from the transfer of his securities</w:t>
      </w:r>
      <w:r w:rsidR="006B3D0E">
        <w:rPr>
          <w:rFonts w:ascii="Arial" w:hAnsi="Arial"/>
          <w:sz w:val="24"/>
          <w:szCs w:val="24"/>
        </w:rPr>
        <w:t xml:space="preserve"> </w:t>
      </w:r>
      <w:r>
        <w:rPr>
          <w:rFonts w:ascii="Arial" w:hAnsi="Arial"/>
          <w:sz w:val="24"/>
          <w:szCs w:val="24"/>
        </w:rPr>
        <w:t xml:space="preserve">immediately into the equity savings plan. </w:t>
      </w:r>
    </w:p>
    <w:p w:rsidR="00A4478C" w:rsidRPr="00FA4162" w:rsidRDefault="00A4478C" w:rsidP="00A4478C">
      <w:pPr>
        <w:spacing w:after="0" w:line="240" w:lineRule="auto"/>
        <w:jc w:val="both"/>
        <w:rPr>
          <w:rFonts w:ascii="Arial" w:hAnsi="Arial" w:cs="Arial"/>
          <w:sz w:val="24"/>
          <w:szCs w:val="24"/>
        </w:rPr>
      </w:pPr>
    </w:p>
    <w:p w:rsidR="00A4478C" w:rsidRDefault="00E75A0F">
      <w:pPr>
        <w:spacing w:after="0" w:line="240" w:lineRule="auto"/>
        <w:jc w:val="both"/>
        <w:rPr>
          <w:rFonts w:ascii="Arial" w:hAnsi="Arial" w:cs="Arial"/>
          <w:sz w:val="24"/>
          <w:szCs w:val="24"/>
        </w:rPr>
      </w:pPr>
      <w:r>
        <w:rPr>
          <w:rFonts w:ascii="Arial" w:hAnsi="Arial"/>
          <w:sz w:val="24"/>
          <w:szCs w:val="24"/>
        </w:rPr>
        <w:t xml:space="preserve">I informed the bank that this wording could be understood both as </w:t>
      </w:r>
      <w:r>
        <w:rPr>
          <w:rFonts w:ascii="Arial" w:hAnsi="Arial"/>
          <w:sz w:val="24"/>
          <w:szCs w:val="24"/>
        </w:rPr>
        <w:br/>
        <w:t>“</w:t>
      </w:r>
      <w:r>
        <w:rPr>
          <w:rFonts w:ascii="Arial" w:hAnsi="Arial"/>
          <w:i/>
          <w:sz w:val="24"/>
          <w:szCs w:val="24"/>
        </w:rPr>
        <w:t>immediately after the transfer”</w:t>
      </w:r>
      <w:r>
        <w:rPr>
          <w:rFonts w:ascii="Arial" w:hAnsi="Arial"/>
          <w:sz w:val="24"/>
          <w:szCs w:val="24"/>
        </w:rPr>
        <w:t>, and “</w:t>
      </w:r>
      <w:r>
        <w:rPr>
          <w:rFonts w:ascii="Arial" w:hAnsi="Arial"/>
          <w:i/>
          <w:sz w:val="24"/>
          <w:szCs w:val="24"/>
        </w:rPr>
        <w:t>immediately after the receipt of the proceeds of the transfer”</w:t>
      </w:r>
      <w:r w:rsidR="00FB2E09">
        <w:rPr>
          <w:rFonts w:ascii="Arial" w:hAnsi="Arial"/>
          <w:sz w:val="24"/>
          <w:szCs w:val="24"/>
        </w:rPr>
        <w:t xml:space="preserve">. In the event of </w:t>
      </w:r>
      <w:r>
        <w:rPr>
          <w:rFonts w:ascii="Arial" w:hAnsi="Arial"/>
          <w:sz w:val="24"/>
          <w:szCs w:val="24"/>
        </w:rPr>
        <w:t xml:space="preserve">doubt in the interpretation of a term of a contract offered by a professional to a consumer, it </w:t>
      </w:r>
      <w:r w:rsidR="006B3D0E">
        <w:rPr>
          <w:rFonts w:ascii="Arial" w:hAnsi="Arial"/>
          <w:sz w:val="24"/>
          <w:szCs w:val="24"/>
        </w:rPr>
        <w:t>must</w:t>
      </w:r>
      <w:r>
        <w:rPr>
          <w:rFonts w:ascii="Arial" w:hAnsi="Arial"/>
          <w:sz w:val="24"/>
          <w:szCs w:val="24"/>
        </w:rPr>
        <w:t xml:space="preserve"> be interpreted in the sense that is most favourable to the consumer</w:t>
      </w:r>
      <w:r w:rsidR="006B3D0E">
        <w:rPr>
          <w:rFonts w:ascii="Arial" w:hAnsi="Arial"/>
          <w:sz w:val="24"/>
          <w:szCs w:val="24"/>
        </w:rPr>
        <w:t>.</w:t>
      </w:r>
      <w:r w:rsidR="000B645E">
        <w:rPr>
          <w:rStyle w:val="Appelnotedebasdep"/>
          <w:rFonts w:ascii="Arial" w:hAnsi="Arial" w:cs="Arial"/>
          <w:sz w:val="24"/>
          <w:szCs w:val="24"/>
        </w:rPr>
        <w:footnoteReference w:id="3"/>
      </w:r>
    </w:p>
    <w:p w:rsidR="003C2E41" w:rsidRPr="00FA4162" w:rsidRDefault="00FB2E09" w:rsidP="00A4478C">
      <w:pPr>
        <w:spacing w:after="0" w:line="240" w:lineRule="auto"/>
        <w:jc w:val="both"/>
        <w:rPr>
          <w:rFonts w:ascii="Arial" w:hAnsi="Arial" w:cs="Arial"/>
          <w:sz w:val="24"/>
          <w:szCs w:val="24"/>
        </w:rPr>
      </w:pPr>
      <w:r>
        <w:rPr>
          <w:rFonts w:ascii="Arial" w:hAnsi="Arial"/>
          <w:sz w:val="24"/>
          <w:szCs w:val="24"/>
        </w:rPr>
        <w:t xml:space="preserve">In </w:t>
      </w:r>
      <w:r w:rsidR="00252F89">
        <w:rPr>
          <w:rFonts w:ascii="Arial" w:hAnsi="Arial"/>
          <w:sz w:val="24"/>
          <w:szCs w:val="24"/>
        </w:rPr>
        <w:t>this instance, the case shows that the client had paid back the funds as soon as he received the first deferred payment, and that the equity savings plan had been closed before the date agreed for the second deferred payment.</w:t>
      </w:r>
    </w:p>
    <w:p w:rsidR="00A4478C" w:rsidRPr="00FA4162" w:rsidRDefault="00A4478C" w:rsidP="00A4478C">
      <w:pPr>
        <w:spacing w:after="0" w:line="240" w:lineRule="auto"/>
        <w:jc w:val="both"/>
        <w:rPr>
          <w:rFonts w:ascii="Arial" w:hAnsi="Arial" w:cs="Arial"/>
          <w:sz w:val="24"/>
          <w:szCs w:val="24"/>
        </w:rPr>
      </w:pPr>
    </w:p>
    <w:p w:rsidR="00A4478C" w:rsidRDefault="00A4478C" w:rsidP="00A4478C">
      <w:pPr>
        <w:spacing w:after="0" w:line="240" w:lineRule="auto"/>
        <w:jc w:val="both"/>
        <w:rPr>
          <w:rFonts w:ascii="Arial" w:hAnsi="Arial" w:cs="Arial"/>
          <w:sz w:val="24"/>
          <w:szCs w:val="24"/>
        </w:rPr>
      </w:pPr>
      <w:r>
        <w:rPr>
          <w:rFonts w:ascii="Arial" w:hAnsi="Arial"/>
          <w:sz w:val="24"/>
          <w:szCs w:val="24"/>
        </w:rPr>
        <w:t xml:space="preserve">I therefore contacted the bank on several occasions. Initially, it offered to compensate the client for half the taxes due as a result of the closure of the equity savings plan before the five-year holding period (since social security charges had to be paid </w:t>
      </w:r>
      <w:r w:rsidR="00FB2E09">
        <w:rPr>
          <w:rFonts w:ascii="Arial" w:hAnsi="Arial"/>
          <w:sz w:val="24"/>
          <w:szCs w:val="24"/>
        </w:rPr>
        <w:t>in</w:t>
      </w:r>
      <w:r>
        <w:rPr>
          <w:rFonts w:ascii="Arial" w:hAnsi="Arial"/>
          <w:sz w:val="24"/>
          <w:szCs w:val="24"/>
        </w:rPr>
        <w:t xml:space="preserve"> any event, their payment could not constitute a loss resulting from this closure).</w:t>
      </w:r>
    </w:p>
    <w:p w:rsidR="00CC061C" w:rsidRDefault="00CC061C" w:rsidP="00A4478C">
      <w:pPr>
        <w:spacing w:after="0" w:line="240" w:lineRule="auto"/>
        <w:jc w:val="both"/>
        <w:rPr>
          <w:rFonts w:ascii="Arial" w:hAnsi="Arial" w:cs="Arial"/>
          <w:sz w:val="24"/>
          <w:szCs w:val="24"/>
        </w:rPr>
      </w:pPr>
    </w:p>
    <w:p w:rsidR="000561A8" w:rsidRPr="00FA4162" w:rsidRDefault="00CC061C" w:rsidP="00F50120">
      <w:pPr>
        <w:spacing w:after="0" w:line="240" w:lineRule="auto"/>
        <w:jc w:val="both"/>
        <w:rPr>
          <w:rFonts w:ascii="Arial" w:hAnsi="Arial" w:cs="Arial"/>
          <w:b/>
          <w:sz w:val="24"/>
          <w:szCs w:val="24"/>
        </w:rPr>
      </w:pPr>
      <w:r>
        <w:rPr>
          <w:rFonts w:ascii="Arial" w:hAnsi="Arial"/>
          <w:sz w:val="24"/>
          <w:szCs w:val="24"/>
        </w:rPr>
        <w:t xml:space="preserve">Although I did not think it possible to return to the previous situation by reopening the plan, </w:t>
      </w:r>
      <w:r w:rsidR="00FB2E09">
        <w:rPr>
          <w:rFonts w:ascii="Arial" w:hAnsi="Arial"/>
          <w:sz w:val="24"/>
          <w:szCs w:val="24"/>
        </w:rPr>
        <w:t xml:space="preserve">I felt that </w:t>
      </w:r>
      <w:r>
        <w:rPr>
          <w:rFonts w:ascii="Arial" w:hAnsi="Arial"/>
          <w:sz w:val="24"/>
          <w:szCs w:val="24"/>
        </w:rPr>
        <w:t xml:space="preserve">this compensation </w:t>
      </w:r>
      <w:r w:rsidR="00FB2E09">
        <w:rPr>
          <w:rFonts w:ascii="Arial" w:hAnsi="Arial"/>
          <w:sz w:val="24"/>
          <w:szCs w:val="24"/>
        </w:rPr>
        <w:t xml:space="preserve">was </w:t>
      </w:r>
      <w:r w:rsidR="006B3D0E">
        <w:rPr>
          <w:rFonts w:ascii="Arial" w:hAnsi="Arial"/>
          <w:sz w:val="24"/>
          <w:szCs w:val="24"/>
        </w:rPr>
        <w:t>in</w:t>
      </w:r>
      <w:r>
        <w:rPr>
          <w:rFonts w:ascii="Arial" w:hAnsi="Arial"/>
          <w:sz w:val="24"/>
          <w:szCs w:val="24"/>
        </w:rPr>
        <w:t xml:space="preserve">sufficient. </w:t>
      </w:r>
    </w:p>
    <w:p w:rsidR="000561A8" w:rsidRPr="00FA4162" w:rsidRDefault="000561A8" w:rsidP="00F50120">
      <w:pPr>
        <w:spacing w:after="0" w:line="240" w:lineRule="auto"/>
        <w:jc w:val="both"/>
        <w:rPr>
          <w:rFonts w:ascii="Arial" w:hAnsi="Arial" w:cs="Arial"/>
          <w:b/>
          <w:sz w:val="24"/>
          <w:szCs w:val="24"/>
        </w:rPr>
      </w:pPr>
    </w:p>
    <w:p w:rsidR="004A1F6B" w:rsidRPr="00FA4162" w:rsidRDefault="004A1F6B" w:rsidP="00F50120">
      <w:pPr>
        <w:spacing w:after="0" w:line="240" w:lineRule="auto"/>
        <w:jc w:val="both"/>
        <w:rPr>
          <w:rFonts w:ascii="Arial" w:hAnsi="Arial" w:cs="Arial"/>
          <w:b/>
          <w:sz w:val="24"/>
          <w:szCs w:val="24"/>
        </w:rPr>
      </w:pPr>
      <w:r>
        <w:rPr>
          <w:rFonts w:ascii="Arial" w:hAnsi="Arial"/>
          <w:b/>
          <w:sz w:val="24"/>
          <w:szCs w:val="24"/>
        </w:rPr>
        <w:t>Recommendation</w:t>
      </w:r>
    </w:p>
    <w:p w:rsidR="00A4478C" w:rsidRPr="00FA4162" w:rsidRDefault="00A4478C" w:rsidP="00F50120">
      <w:pPr>
        <w:spacing w:after="0" w:line="240" w:lineRule="auto"/>
        <w:jc w:val="both"/>
        <w:rPr>
          <w:rFonts w:ascii="Arial" w:hAnsi="Arial" w:cs="Arial"/>
          <w:b/>
          <w:sz w:val="24"/>
          <w:szCs w:val="24"/>
        </w:rPr>
      </w:pPr>
    </w:p>
    <w:p w:rsidR="000561A8" w:rsidRPr="00FA4162" w:rsidRDefault="000B645E" w:rsidP="00F50120">
      <w:pPr>
        <w:spacing w:after="0" w:line="240" w:lineRule="auto"/>
        <w:jc w:val="both"/>
        <w:rPr>
          <w:rFonts w:ascii="Arial" w:hAnsi="Arial" w:cs="Arial"/>
          <w:sz w:val="24"/>
          <w:szCs w:val="24"/>
        </w:rPr>
      </w:pPr>
      <w:r>
        <w:rPr>
          <w:rFonts w:ascii="Arial" w:hAnsi="Arial"/>
          <w:sz w:val="24"/>
          <w:szCs w:val="24"/>
        </w:rPr>
        <w:t xml:space="preserve">I therefore recommended that the bank compensate its client for all the taxes that he paid </w:t>
      </w:r>
      <w:proofErr w:type="gramStart"/>
      <w:r>
        <w:rPr>
          <w:rFonts w:ascii="Arial" w:hAnsi="Arial"/>
          <w:sz w:val="24"/>
          <w:szCs w:val="24"/>
        </w:rPr>
        <w:t>as a result of</w:t>
      </w:r>
      <w:proofErr w:type="gramEnd"/>
      <w:r>
        <w:rPr>
          <w:rFonts w:ascii="Arial" w:hAnsi="Arial"/>
          <w:sz w:val="24"/>
          <w:szCs w:val="24"/>
        </w:rPr>
        <w:t xml:space="preserve"> the closure of the equity savings plan. This is because I felt that the closure could have been avoided if Mr. X. had been sufficiently informed to take the measures compatible with the regulations of the equity savings plan. Conversely, I agree with the bank’s analysis leading to its refusal to reimburse the social security charges paid, since they would have been due at any event.</w:t>
      </w:r>
    </w:p>
    <w:p w:rsidR="00A4478C" w:rsidRPr="00FA4162" w:rsidRDefault="00A4478C" w:rsidP="00F50120">
      <w:pPr>
        <w:spacing w:after="0" w:line="240" w:lineRule="auto"/>
        <w:jc w:val="both"/>
        <w:rPr>
          <w:rFonts w:ascii="Arial" w:hAnsi="Arial" w:cs="Arial"/>
          <w:sz w:val="24"/>
          <w:szCs w:val="24"/>
        </w:rPr>
      </w:pPr>
      <w:r>
        <w:rPr>
          <w:rFonts w:ascii="Arial" w:hAnsi="Arial"/>
          <w:sz w:val="24"/>
          <w:szCs w:val="24"/>
        </w:rPr>
        <w:t>The bank eventually accepted my proposal</w:t>
      </w:r>
      <w:r w:rsidR="00FB2E09">
        <w:rPr>
          <w:rFonts w:ascii="Arial" w:hAnsi="Arial"/>
          <w:sz w:val="24"/>
          <w:szCs w:val="24"/>
        </w:rPr>
        <w:t xml:space="preserve"> for a payment </w:t>
      </w:r>
      <w:r>
        <w:rPr>
          <w:rFonts w:ascii="Arial" w:hAnsi="Arial"/>
          <w:sz w:val="24"/>
          <w:szCs w:val="24"/>
        </w:rPr>
        <w:t>amount</w:t>
      </w:r>
      <w:r w:rsidR="00FB2E09">
        <w:rPr>
          <w:rFonts w:ascii="Arial" w:hAnsi="Arial"/>
          <w:sz w:val="24"/>
          <w:szCs w:val="24"/>
        </w:rPr>
        <w:t>ing</w:t>
      </w:r>
      <w:r>
        <w:rPr>
          <w:rFonts w:ascii="Arial" w:hAnsi="Arial"/>
          <w:sz w:val="24"/>
          <w:szCs w:val="24"/>
        </w:rPr>
        <w:t xml:space="preserve"> to €4,586.50.</w:t>
      </w:r>
    </w:p>
    <w:p w:rsidR="000561A8" w:rsidRDefault="000561A8" w:rsidP="00F50120">
      <w:pPr>
        <w:spacing w:after="0" w:line="240" w:lineRule="auto"/>
        <w:jc w:val="both"/>
        <w:rPr>
          <w:rFonts w:ascii="Arial" w:hAnsi="Arial" w:cs="Arial"/>
          <w:b/>
          <w:sz w:val="24"/>
          <w:szCs w:val="24"/>
        </w:rPr>
      </w:pPr>
    </w:p>
    <w:p w:rsidR="009D337B" w:rsidRPr="00FA4162" w:rsidRDefault="009D337B" w:rsidP="00F50120">
      <w:pPr>
        <w:spacing w:after="0" w:line="240" w:lineRule="auto"/>
        <w:jc w:val="both"/>
        <w:rPr>
          <w:rFonts w:ascii="Arial" w:hAnsi="Arial" w:cs="Arial"/>
          <w:b/>
          <w:sz w:val="24"/>
          <w:szCs w:val="24"/>
        </w:rPr>
      </w:pPr>
    </w:p>
    <w:p w:rsidR="004A1F6B" w:rsidRPr="00FA4162" w:rsidRDefault="004A1F6B" w:rsidP="00F50120">
      <w:pPr>
        <w:spacing w:after="0" w:line="240" w:lineRule="auto"/>
        <w:jc w:val="both"/>
        <w:rPr>
          <w:rFonts w:ascii="Arial" w:hAnsi="Arial" w:cs="Arial"/>
          <w:b/>
          <w:sz w:val="24"/>
          <w:szCs w:val="24"/>
        </w:rPr>
      </w:pPr>
      <w:r>
        <w:rPr>
          <w:rFonts w:ascii="Arial" w:hAnsi="Arial"/>
          <w:b/>
          <w:sz w:val="24"/>
          <w:szCs w:val="24"/>
        </w:rPr>
        <w:t>Lesson to be learned</w:t>
      </w:r>
    </w:p>
    <w:p w:rsidR="00A57F52" w:rsidRPr="00FA4162" w:rsidRDefault="00A57F52" w:rsidP="00F50120">
      <w:pPr>
        <w:spacing w:after="0" w:line="240" w:lineRule="auto"/>
        <w:jc w:val="both"/>
        <w:rPr>
          <w:rFonts w:ascii="Arial" w:hAnsi="Arial" w:cs="Arial"/>
          <w:b/>
          <w:sz w:val="24"/>
          <w:szCs w:val="24"/>
        </w:rPr>
      </w:pPr>
    </w:p>
    <w:p w:rsidR="00A57F52" w:rsidRPr="00FA4162" w:rsidRDefault="00A57F52" w:rsidP="00F50120">
      <w:pPr>
        <w:spacing w:after="0" w:line="240" w:lineRule="auto"/>
        <w:jc w:val="both"/>
        <w:rPr>
          <w:rFonts w:ascii="Arial" w:hAnsi="Arial" w:cs="Arial"/>
          <w:b/>
          <w:sz w:val="24"/>
          <w:szCs w:val="24"/>
        </w:rPr>
      </w:pPr>
      <w:r>
        <w:rPr>
          <w:rFonts w:ascii="Arial" w:hAnsi="Arial"/>
          <w:b/>
          <w:sz w:val="24"/>
          <w:szCs w:val="24"/>
        </w:rPr>
        <w:t>For investors:</w:t>
      </w:r>
    </w:p>
    <w:p w:rsidR="009D2621" w:rsidRPr="00FA4162" w:rsidRDefault="005B3598" w:rsidP="00F50120">
      <w:pPr>
        <w:spacing w:after="0" w:line="240" w:lineRule="auto"/>
        <w:jc w:val="both"/>
        <w:rPr>
          <w:rFonts w:ascii="Arial" w:hAnsi="Arial" w:cs="Arial"/>
          <w:sz w:val="24"/>
          <w:szCs w:val="24"/>
        </w:rPr>
      </w:pPr>
      <w:r>
        <w:rPr>
          <w:rFonts w:ascii="Arial" w:hAnsi="Arial"/>
          <w:sz w:val="24"/>
          <w:szCs w:val="24"/>
        </w:rPr>
        <w:t xml:space="preserve">Investors must be aware, once they plan to dispose of unlisted securities held in an equity savings account with deferred payment, that they should be able to pay the equivalent of the transfer price within two months after the transfer, without fail, otherwise the </w:t>
      </w:r>
      <w:r w:rsidR="006B3D0E">
        <w:rPr>
          <w:rFonts w:ascii="Arial" w:hAnsi="Arial"/>
          <w:sz w:val="24"/>
          <w:szCs w:val="24"/>
        </w:rPr>
        <w:t>plan</w:t>
      </w:r>
      <w:r>
        <w:rPr>
          <w:rFonts w:ascii="Arial" w:hAnsi="Arial"/>
          <w:sz w:val="24"/>
          <w:szCs w:val="24"/>
        </w:rPr>
        <w:t xml:space="preserve"> will be closed </w:t>
      </w:r>
      <w:r w:rsidR="006B3D0E">
        <w:rPr>
          <w:rFonts w:ascii="Arial" w:hAnsi="Arial"/>
          <w:sz w:val="24"/>
          <w:szCs w:val="24"/>
        </w:rPr>
        <w:t>due to</w:t>
      </w:r>
      <w:r>
        <w:rPr>
          <w:rFonts w:ascii="Arial" w:hAnsi="Arial"/>
          <w:sz w:val="24"/>
          <w:szCs w:val="24"/>
        </w:rPr>
        <w:t xml:space="preserve"> tax irregularities.</w:t>
      </w:r>
    </w:p>
    <w:p w:rsidR="00A57F52" w:rsidRPr="00FA4162" w:rsidRDefault="00A57F52" w:rsidP="00F50120">
      <w:pPr>
        <w:spacing w:after="0" w:line="240" w:lineRule="auto"/>
        <w:jc w:val="both"/>
        <w:rPr>
          <w:rFonts w:ascii="Arial" w:hAnsi="Arial" w:cs="Arial"/>
          <w:b/>
          <w:sz w:val="24"/>
          <w:szCs w:val="24"/>
        </w:rPr>
      </w:pPr>
    </w:p>
    <w:p w:rsidR="00A57F52" w:rsidRPr="00FA4162" w:rsidRDefault="00A57F52" w:rsidP="00F50120">
      <w:pPr>
        <w:spacing w:after="0" w:line="240" w:lineRule="auto"/>
        <w:jc w:val="both"/>
        <w:rPr>
          <w:rFonts w:ascii="Arial" w:hAnsi="Arial" w:cs="Arial"/>
          <w:b/>
          <w:sz w:val="24"/>
          <w:szCs w:val="24"/>
        </w:rPr>
      </w:pPr>
      <w:r>
        <w:rPr>
          <w:rFonts w:ascii="Arial" w:hAnsi="Arial"/>
          <w:b/>
          <w:sz w:val="24"/>
          <w:szCs w:val="24"/>
        </w:rPr>
        <w:t>For banks managing e</w:t>
      </w:r>
      <w:r w:rsidR="00FB2E09">
        <w:rPr>
          <w:rFonts w:ascii="Arial" w:hAnsi="Arial"/>
          <w:b/>
          <w:sz w:val="24"/>
          <w:szCs w:val="24"/>
        </w:rPr>
        <w:t>q</w:t>
      </w:r>
      <w:r>
        <w:rPr>
          <w:rFonts w:ascii="Arial" w:hAnsi="Arial"/>
          <w:b/>
          <w:sz w:val="24"/>
          <w:szCs w:val="24"/>
        </w:rPr>
        <w:t>uity savings plans:</w:t>
      </w:r>
    </w:p>
    <w:p w:rsidR="00A57F52" w:rsidRPr="00FA4162" w:rsidRDefault="009D337B" w:rsidP="00F50120">
      <w:pPr>
        <w:spacing w:after="0" w:line="240" w:lineRule="auto"/>
        <w:jc w:val="both"/>
        <w:rPr>
          <w:rFonts w:ascii="Arial" w:hAnsi="Arial" w:cs="Arial"/>
          <w:sz w:val="24"/>
          <w:szCs w:val="24"/>
        </w:rPr>
      </w:pPr>
      <w:r>
        <w:rPr>
          <w:rFonts w:ascii="Arial" w:hAnsi="Arial"/>
          <w:sz w:val="24"/>
          <w:szCs w:val="24"/>
        </w:rPr>
        <w:lastRenderedPageBreak/>
        <w:t>In any event, the bank must ensure that it provides clear and complete information on this obligation in the letter of co</w:t>
      </w:r>
      <w:bookmarkStart w:id="0" w:name="_GoBack"/>
      <w:bookmarkEnd w:id="0"/>
      <w:r>
        <w:rPr>
          <w:rFonts w:ascii="Arial" w:hAnsi="Arial"/>
          <w:sz w:val="24"/>
          <w:szCs w:val="24"/>
        </w:rPr>
        <w:t>mmitment to avoid the risk of misleading its customer.</w:t>
      </w:r>
    </w:p>
    <w:sectPr w:rsidR="00A57F52" w:rsidRPr="00FA41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194" w:rsidRDefault="00FD3194" w:rsidP="00A57F52">
      <w:pPr>
        <w:spacing w:after="0" w:line="240" w:lineRule="auto"/>
      </w:pPr>
      <w:r>
        <w:separator/>
      </w:r>
    </w:p>
  </w:endnote>
  <w:endnote w:type="continuationSeparator" w:id="0">
    <w:p w:rsidR="00FD3194" w:rsidRDefault="00FD3194" w:rsidP="00A5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194" w:rsidRDefault="00FD3194" w:rsidP="00A57F52">
      <w:pPr>
        <w:spacing w:after="0" w:line="240" w:lineRule="auto"/>
      </w:pPr>
      <w:r>
        <w:separator/>
      </w:r>
    </w:p>
  </w:footnote>
  <w:footnote w:type="continuationSeparator" w:id="0">
    <w:p w:rsidR="00FD3194" w:rsidRDefault="00FD3194" w:rsidP="00A57F52">
      <w:pPr>
        <w:spacing w:after="0" w:line="240" w:lineRule="auto"/>
      </w:pPr>
      <w:r>
        <w:continuationSeparator/>
      </w:r>
    </w:p>
  </w:footnote>
  <w:footnote w:id="1">
    <w:p w:rsidR="00A57F52" w:rsidRDefault="00A57F52">
      <w:pPr>
        <w:pStyle w:val="Notedebasdepage"/>
      </w:pPr>
      <w:r>
        <w:rPr>
          <w:rStyle w:val="Appelnotedebasdep"/>
        </w:rPr>
        <w:footnoteRef/>
      </w:r>
      <w:r>
        <w:t xml:space="preserve"> Deferred or staggered payments of this kind may frequently occur, as in this case where part of the transfer price was used as a liability guarantee for the purchaser of the unlisted company's securities.</w:t>
      </w:r>
    </w:p>
  </w:footnote>
  <w:footnote w:id="2">
    <w:p w:rsidR="00CC061C" w:rsidRDefault="00CC061C">
      <w:pPr>
        <w:pStyle w:val="Notedebasdepage"/>
      </w:pPr>
      <w:r>
        <w:rPr>
          <w:rStyle w:val="Appelnotedebasdep"/>
        </w:rPr>
        <w:footnoteRef/>
      </w:r>
      <w:r>
        <w:t xml:space="preserve"> BOI-RPPM-RCM-40-50-50-20120912</w:t>
      </w:r>
    </w:p>
  </w:footnote>
  <w:footnote w:id="3">
    <w:p w:rsidR="000B645E" w:rsidRDefault="000B645E">
      <w:pPr>
        <w:pStyle w:val="Notedebasdepage"/>
      </w:pPr>
      <w:r>
        <w:rPr>
          <w:rStyle w:val="Appelnotedebasdep"/>
        </w:rPr>
        <w:footnoteRef/>
      </w:r>
      <w:r>
        <w:t xml:space="preserve"> Article L.211-1 of the French Consumer Code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9"/>
    <w:rsid w:val="0001406A"/>
    <w:rsid w:val="00036D67"/>
    <w:rsid w:val="000561A8"/>
    <w:rsid w:val="000A56DA"/>
    <w:rsid w:val="000A74CF"/>
    <w:rsid w:val="000B645E"/>
    <w:rsid w:val="000C684E"/>
    <w:rsid w:val="000E4B37"/>
    <w:rsid w:val="00167B11"/>
    <w:rsid w:val="00172912"/>
    <w:rsid w:val="001E4767"/>
    <w:rsid w:val="00251F2D"/>
    <w:rsid w:val="00252F89"/>
    <w:rsid w:val="002574F7"/>
    <w:rsid w:val="00260B27"/>
    <w:rsid w:val="0026246E"/>
    <w:rsid w:val="00286B64"/>
    <w:rsid w:val="002A1642"/>
    <w:rsid w:val="002C4F8E"/>
    <w:rsid w:val="002E20C4"/>
    <w:rsid w:val="002F7E85"/>
    <w:rsid w:val="0030374E"/>
    <w:rsid w:val="00360040"/>
    <w:rsid w:val="003B5909"/>
    <w:rsid w:val="003C2E41"/>
    <w:rsid w:val="00413908"/>
    <w:rsid w:val="00417A07"/>
    <w:rsid w:val="00427D18"/>
    <w:rsid w:val="0043383C"/>
    <w:rsid w:val="0046758E"/>
    <w:rsid w:val="0048036F"/>
    <w:rsid w:val="004A1F6B"/>
    <w:rsid w:val="004C6582"/>
    <w:rsid w:val="00527332"/>
    <w:rsid w:val="005405DC"/>
    <w:rsid w:val="00543F81"/>
    <w:rsid w:val="0054728B"/>
    <w:rsid w:val="00554169"/>
    <w:rsid w:val="005B3598"/>
    <w:rsid w:val="005D2E4E"/>
    <w:rsid w:val="00634F2C"/>
    <w:rsid w:val="00652659"/>
    <w:rsid w:val="006A67FC"/>
    <w:rsid w:val="006B3D0E"/>
    <w:rsid w:val="006C44CD"/>
    <w:rsid w:val="00730918"/>
    <w:rsid w:val="00730E96"/>
    <w:rsid w:val="007F42F7"/>
    <w:rsid w:val="0088348C"/>
    <w:rsid w:val="00893103"/>
    <w:rsid w:val="00915C44"/>
    <w:rsid w:val="00934FDA"/>
    <w:rsid w:val="00997E44"/>
    <w:rsid w:val="009C47E8"/>
    <w:rsid w:val="009D2621"/>
    <w:rsid w:val="009D337B"/>
    <w:rsid w:val="00A4478C"/>
    <w:rsid w:val="00A57F52"/>
    <w:rsid w:val="00AA7584"/>
    <w:rsid w:val="00AD5857"/>
    <w:rsid w:val="00B1048B"/>
    <w:rsid w:val="00B317FF"/>
    <w:rsid w:val="00B32243"/>
    <w:rsid w:val="00B76BDD"/>
    <w:rsid w:val="00BA6E08"/>
    <w:rsid w:val="00BB4566"/>
    <w:rsid w:val="00BC06FA"/>
    <w:rsid w:val="00C11AB4"/>
    <w:rsid w:val="00CC061C"/>
    <w:rsid w:val="00D46730"/>
    <w:rsid w:val="00D629F9"/>
    <w:rsid w:val="00DB5BBD"/>
    <w:rsid w:val="00DB62A7"/>
    <w:rsid w:val="00DB710B"/>
    <w:rsid w:val="00DE5A1E"/>
    <w:rsid w:val="00E75A0F"/>
    <w:rsid w:val="00F33B64"/>
    <w:rsid w:val="00F36282"/>
    <w:rsid w:val="00F50120"/>
    <w:rsid w:val="00FA1739"/>
    <w:rsid w:val="00FA4162"/>
    <w:rsid w:val="00FB2E09"/>
    <w:rsid w:val="00FD3194"/>
    <w:rsid w:val="00FE1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C438"/>
  <w15:docId w15:val="{484BF2F1-D93A-4336-B188-CA87777A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57F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7F52"/>
    <w:rPr>
      <w:sz w:val="20"/>
      <w:szCs w:val="20"/>
    </w:rPr>
  </w:style>
  <w:style w:type="character" w:styleId="Appelnotedebasdep">
    <w:name w:val="footnote reference"/>
    <w:basedOn w:val="Policepardfaut"/>
    <w:uiPriority w:val="99"/>
    <w:semiHidden/>
    <w:unhideWhenUsed/>
    <w:rsid w:val="00A57F52"/>
    <w:rPr>
      <w:vertAlign w:val="superscript"/>
    </w:rPr>
  </w:style>
  <w:style w:type="paragraph" w:styleId="Paragraphedeliste">
    <w:name w:val="List Paragraph"/>
    <w:basedOn w:val="Normal"/>
    <w:uiPriority w:val="34"/>
    <w:qFormat/>
    <w:rsid w:val="00A4478C"/>
    <w:pPr>
      <w:ind w:left="720"/>
      <w:contextualSpacing/>
    </w:pPr>
  </w:style>
  <w:style w:type="paragraph" w:styleId="Textedebulles">
    <w:name w:val="Balloon Text"/>
    <w:basedOn w:val="Normal"/>
    <w:link w:val="TextedebullesCar"/>
    <w:uiPriority w:val="99"/>
    <w:semiHidden/>
    <w:unhideWhenUsed/>
    <w:rsid w:val="00F33B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3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9C2C-7724-4200-AEA4-9E55E56F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Astrid</dc:creator>
  <cp:lastModifiedBy>Peter HANCOCK</cp:lastModifiedBy>
  <cp:revision>3</cp:revision>
  <cp:lastPrinted>2019-06-19T16:37:00Z</cp:lastPrinted>
  <dcterms:created xsi:type="dcterms:W3CDTF">2019-07-16T11:24:00Z</dcterms:created>
  <dcterms:modified xsi:type="dcterms:W3CDTF">2019-07-16T11:34:00Z</dcterms:modified>
</cp:coreProperties>
</file>