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F191B" w14:textId="2285DC19" w:rsidR="00D13937" w:rsidRPr="00F41B79" w:rsidRDefault="00712DD0" w:rsidP="00F41B79">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28"/>
          <w:szCs w:val="28"/>
        </w:rPr>
      </w:pPr>
      <w:r>
        <w:rPr>
          <w:rFonts w:asciiTheme="majorHAnsi" w:hAnsiTheme="majorHAnsi"/>
          <w:color w:val="17365D" w:themeColor="text2" w:themeShade="BF"/>
          <w:sz w:val="28"/>
          <w:szCs w:val="28"/>
        </w:rPr>
        <w:t xml:space="preserve">Employee </w:t>
      </w:r>
      <w:r w:rsidR="00792C0D">
        <w:rPr>
          <w:rFonts w:asciiTheme="majorHAnsi" w:hAnsiTheme="majorHAnsi"/>
          <w:color w:val="17365D" w:themeColor="text2" w:themeShade="BF"/>
          <w:sz w:val="28"/>
          <w:szCs w:val="28"/>
        </w:rPr>
        <w:t>s</w:t>
      </w:r>
      <w:bookmarkStart w:id="0" w:name="_GoBack"/>
      <w:bookmarkEnd w:id="0"/>
      <w:r w:rsidR="00792C0D">
        <w:rPr>
          <w:rFonts w:asciiTheme="majorHAnsi" w:hAnsiTheme="majorHAnsi"/>
          <w:color w:val="17365D" w:themeColor="text2" w:themeShade="BF"/>
          <w:sz w:val="28"/>
          <w:szCs w:val="28"/>
        </w:rPr>
        <w:t xml:space="preserve">hareholder </w:t>
      </w:r>
      <w:r>
        <w:rPr>
          <w:rFonts w:asciiTheme="majorHAnsi" w:hAnsiTheme="majorHAnsi"/>
          <w:color w:val="17365D" w:themeColor="text2" w:themeShade="BF"/>
          <w:sz w:val="28"/>
          <w:szCs w:val="28"/>
        </w:rPr>
        <w:t>investment undertaking</w:t>
      </w:r>
      <w:r w:rsidR="00443846">
        <w:rPr>
          <w:rFonts w:asciiTheme="majorHAnsi" w:hAnsiTheme="majorHAnsi"/>
          <w:color w:val="17365D" w:themeColor="text2" w:themeShade="BF"/>
          <w:sz w:val="28"/>
          <w:szCs w:val="28"/>
        </w:rPr>
        <w:t>s</w:t>
      </w:r>
      <w:r>
        <w:rPr>
          <w:rFonts w:asciiTheme="majorHAnsi" w:hAnsiTheme="majorHAnsi"/>
          <w:color w:val="17365D" w:themeColor="text2" w:themeShade="BF"/>
          <w:sz w:val="28"/>
          <w:szCs w:val="28"/>
        </w:rPr>
        <w:t>: why is there a possible periodic readjustment of the number of units?</w:t>
      </w:r>
    </w:p>
    <w:p w14:paraId="5B12D2DC" w14:textId="77777777" w:rsidR="007D6A64" w:rsidRPr="007D6A64" w:rsidRDefault="007D6A64" w:rsidP="007D6A64">
      <w:pPr>
        <w:spacing w:after="0" w:line="240" w:lineRule="atLeast"/>
        <w:jc w:val="center"/>
        <w:rPr>
          <w:rFonts w:ascii="Arial" w:eastAsia="Times New Roman" w:hAnsi="Arial" w:cs="Arial"/>
          <w:bCs/>
          <w:color w:val="FF0000"/>
          <w:sz w:val="20"/>
          <w:szCs w:val="20"/>
          <w:lang w:eastAsia="zh-TW"/>
        </w:rPr>
      </w:pPr>
    </w:p>
    <w:p w14:paraId="7C3028A6" w14:textId="77777777" w:rsidR="00711876" w:rsidRDefault="00711876" w:rsidP="007D6A64">
      <w:pPr>
        <w:spacing w:after="0" w:line="240" w:lineRule="atLeast"/>
        <w:jc w:val="both"/>
        <w:rPr>
          <w:rFonts w:ascii="Arial" w:eastAsia="Times" w:hAnsi="Arial" w:cs="Arial"/>
          <w:color w:val="000000" w:themeColor="text1"/>
          <w:sz w:val="20"/>
          <w:szCs w:val="20"/>
          <w:lang w:eastAsia="fr-FR"/>
        </w:rPr>
      </w:pPr>
    </w:p>
    <w:p w14:paraId="5E945A45" w14:textId="6E98AFDA" w:rsidR="00711876" w:rsidRDefault="00711876" w:rsidP="007D6A64">
      <w:pPr>
        <w:spacing w:after="0" w:line="240" w:lineRule="atLeast"/>
        <w:jc w:val="both"/>
        <w:rPr>
          <w:rFonts w:ascii="Arial" w:eastAsia="Times" w:hAnsi="Arial" w:cs="Arial"/>
          <w:color w:val="000000" w:themeColor="text1"/>
          <w:sz w:val="20"/>
          <w:szCs w:val="20"/>
        </w:rPr>
      </w:pPr>
      <w:r>
        <w:rPr>
          <w:rFonts w:ascii="Arial" w:hAnsi="Arial"/>
          <w:color w:val="000000" w:themeColor="text1"/>
          <w:sz w:val="20"/>
          <w:szCs w:val="20"/>
        </w:rPr>
        <w:t xml:space="preserve">Some employee </w:t>
      </w:r>
      <w:r w:rsidR="00792C0D">
        <w:rPr>
          <w:rFonts w:ascii="Arial" w:hAnsi="Arial"/>
          <w:color w:val="000000" w:themeColor="text1"/>
          <w:sz w:val="20"/>
          <w:szCs w:val="20"/>
        </w:rPr>
        <w:t xml:space="preserve">shareholder </w:t>
      </w:r>
      <w:r>
        <w:rPr>
          <w:rFonts w:ascii="Arial" w:hAnsi="Arial"/>
          <w:color w:val="000000" w:themeColor="text1"/>
          <w:sz w:val="20"/>
          <w:szCs w:val="20"/>
        </w:rPr>
        <w:t>investment undertakings</w:t>
      </w:r>
      <w:r w:rsidR="00C21290">
        <w:rPr>
          <w:rFonts w:ascii="Arial" w:hAnsi="Arial"/>
          <w:color w:val="000000" w:themeColor="text1"/>
          <w:sz w:val="20"/>
          <w:szCs w:val="20"/>
        </w:rPr>
        <w:t xml:space="preserve"> are</w:t>
      </w:r>
      <w:r>
        <w:rPr>
          <w:rFonts w:ascii="Arial" w:hAnsi="Arial"/>
          <w:color w:val="000000" w:themeColor="text1"/>
          <w:sz w:val="20"/>
          <w:szCs w:val="20"/>
        </w:rPr>
        <w:t xml:space="preserve"> invested in the company’s listed securities</w:t>
      </w:r>
      <w:r w:rsidR="00C21290">
        <w:rPr>
          <w:rFonts w:ascii="Arial" w:hAnsi="Arial"/>
          <w:color w:val="000000" w:themeColor="text1"/>
          <w:sz w:val="20"/>
          <w:szCs w:val="20"/>
        </w:rPr>
        <w:t xml:space="preserve"> and</w:t>
      </w:r>
      <w:r>
        <w:rPr>
          <w:rFonts w:ascii="Arial" w:hAnsi="Arial"/>
          <w:color w:val="000000" w:themeColor="text1"/>
          <w:sz w:val="20"/>
          <w:szCs w:val="20"/>
        </w:rPr>
        <w:t xml:space="preserve"> may wish their net asset value to reflect the listing value of the company in which they are invested. This choice is usually motivated by the desire to enable the employee, </w:t>
      </w:r>
      <w:r w:rsidR="00C21290">
        <w:rPr>
          <w:rFonts w:ascii="Arial" w:hAnsi="Arial"/>
          <w:color w:val="000000" w:themeColor="text1"/>
          <w:sz w:val="20"/>
          <w:szCs w:val="20"/>
        </w:rPr>
        <w:t>by</w:t>
      </w:r>
      <w:r>
        <w:rPr>
          <w:rFonts w:ascii="Arial" w:hAnsi="Arial"/>
          <w:color w:val="000000" w:themeColor="text1"/>
          <w:sz w:val="20"/>
          <w:szCs w:val="20"/>
        </w:rPr>
        <w:t xml:space="preserve"> simple observation of the company’s share price, to know the approximate net asset value of the units of the</w:t>
      </w:r>
      <w:r w:rsidR="00792C0D">
        <w:rPr>
          <w:rFonts w:ascii="Arial" w:hAnsi="Arial"/>
          <w:color w:val="000000" w:themeColor="text1"/>
          <w:sz w:val="20"/>
          <w:szCs w:val="20"/>
        </w:rPr>
        <w:t>ir</w:t>
      </w:r>
      <w:r>
        <w:rPr>
          <w:rFonts w:ascii="Arial" w:hAnsi="Arial"/>
          <w:color w:val="000000" w:themeColor="text1"/>
          <w:sz w:val="20"/>
          <w:szCs w:val="20"/>
        </w:rPr>
        <w:t xml:space="preserve"> employee </w:t>
      </w:r>
      <w:r w:rsidR="00792C0D">
        <w:rPr>
          <w:rFonts w:ascii="Arial" w:hAnsi="Arial"/>
          <w:color w:val="000000" w:themeColor="text1"/>
          <w:sz w:val="20"/>
          <w:szCs w:val="20"/>
        </w:rPr>
        <w:t>savings plan</w:t>
      </w:r>
      <w:r>
        <w:rPr>
          <w:rFonts w:ascii="Arial" w:hAnsi="Arial"/>
          <w:color w:val="000000" w:themeColor="text1"/>
          <w:sz w:val="20"/>
          <w:szCs w:val="20"/>
        </w:rPr>
        <w:t>, even if only the net asset value is valid.</w:t>
      </w:r>
    </w:p>
    <w:p w14:paraId="7C57ED8B" w14:textId="77777777" w:rsidR="009B3218" w:rsidRDefault="009B3218" w:rsidP="007D6A64">
      <w:pPr>
        <w:spacing w:after="0" w:line="240" w:lineRule="atLeast"/>
        <w:jc w:val="both"/>
        <w:rPr>
          <w:rFonts w:ascii="Arial" w:eastAsia="Times" w:hAnsi="Arial" w:cs="Arial"/>
          <w:color w:val="000000" w:themeColor="text1"/>
          <w:sz w:val="20"/>
          <w:szCs w:val="20"/>
          <w:lang w:eastAsia="fr-FR"/>
        </w:rPr>
      </w:pPr>
    </w:p>
    <w:p w14:paraId="5440DD97" w14:textId="4F5FDF78" w:rsidR="009B3218" w:rsidRDefault="009B3218" w:rsidP="007D6A64">
      <w:pPr>
        <w:spacing w:after="0" w:line="240" w:lineRule="atLeast"/>
        <w:jc w:val="both"/>
        <w:rPr>
          <w:rFonts w:ascii="Arial" w:eastAsia="Times" w:hAnsi="Arial" w:cs="Arial"/>
          <w:color w:val="000000" w:themeColor="text1"/>
          <w:sz w:val="20"/>
          <w:szCs w:val="20"/>
        </w:rPr>
      </w:pPr>
      <w:r>
        <w:rPr>
          <w:rFonts w:ascii="Arial" w:hAnsi="Arial"/>
          <w:color w:val="000000" w:themeColor="text1"/>
          <w:sz w:val="20"/>
          <w:szCs w:val="20"/>
        </w:rPr>
        <w:t xml:space="preserve">However, the net asset value of the employee investment undertaking and the company’s listing </w:t>
      </w:r>
      <w:r w:rsidR="00073AED">
        <w:rPr>
          <w:rFonts w:ascii="Arial" w:hAnsi="Arial"/>
          <w:color w:val="000000" w:themeColor="text1"/>
          <w:sz w:val="20"/>
          <w:szCs w:val="20"/>
        </w:rPr>
        <w:t xml:space="preserve">value </w:t>
      </w:r>
      <w:r>
        <w:rPr>
          <w:rFonts w:ascii="Arial" w:hAnsi="Arial"/>
          <w:color w:val="000000" w:themeColor="text1"/>
          <w:sz w:val="20"/>
          <w:szCs w:val="20"/>
        </w:rPr>
        <w:t>may differ, especially on the ex-dividend date. The ex-dividends</w:t>
      </w:r>
      <w:r w:rsidR="00792C0D">
        <w:rPr>
          <w:rFonts w:ascii="Arial" w:hAnsi="Arial"/>
          <w:color w:val="000000" w:themeColor="text1"/>
          <w:sz w:val="20"/>
          <w:szCs w:val="20"/>
        </w:rPr>
        <w:t xml:space="preserve"> are </w:t>
      </w:r>
      <w:r>
        <w:rPr>
          <w:rFonts w:ascii="Arial" w:hAnsi="Arial"/>
          <w:color w:val="000000" w:themeColor="text1"/>
          <w:sz w:val="20"/>
          <w:szCs w:val="20"/>
        </w:rPr>
        <w:t>capitalised in the employee investment undertaking, increas</w:t>
      </w:r>
      <w:r w:rsidR="00164CC6">
        <w:rPr>
          <w:rFonts w:ascii="Arial" w:hAnsi="Arial"/>
          <w:color w:val="000000" w:themeColor="text1"/>
          <w:sz w:val="20"/>
          <w:szCs w:val="20"/>
        </w:rPr>
        <w:t>ing</w:t>
      </w:r>
      <w:r>
        <w:rPr>
          <w:rFonts w:ascii="Arial" w:hAnsi="Arial"/>
          <w:color w:val="000000" w:themeColor="text1"/>
          <w:sz w:val="20"/>
          <w:szCs w:val="20"/>
        </w:rPr>
        <w:t xml:space="preserve"> the net asset value by the same amount</w:t>
      </w:r>
      <w:r w:rsidR="00164CC6">
        <w:rPr>
          <w:rFonts w:ascii="Arial" w:hAnsi="Arial"/>
          <w:color w:val="000000" w:themeColor="text1"/>
          <w:sz w:val="20"/>
          <w:szCs w:val="20"/>
        </w:rPr>
        <w:t xml:space="preserve"> and</w:t>
      </w:r>
      <w:r>
        <w:rPr>
          <w:rFonts w:ascii="Arial" w:hAnsi="Arial"/>
          <w:color w:val="000000" w:themeColor="text1"/>
          <w:sz w:val="20"/>
          <w:szCs w:val="20"/>
        </w:rPr>
        <w:t xml:space="preserve"> thus making it higher than the company’s share price.</w:t>
      </w:r>
    </w:p>
    <w:p w14:paraId="4FACD66E" w14:textId="34AB07E3" w:rsidR="0024489A" w:rsidRDefault="0024489A" w:rsidP="007D6A64">
      <w:pPr>
        <w:spacing w:after="0" w:line="240" w:lineRule="atLeast"/>
        <w:jc w:val="both"/>
        <w:rPr>
          <w:rFonts w:ascii="Arial" w:eastAsia="Times" w:hAnsi="Arial" w:cs="Arial"/>
          <w:color w:val="000000" w:themeColor="text1"/>
          <w:sz w:val="20"/>
          <w:szCs w:val="20"/>
          <w:lang w:eastAsia="fr-FR"/>
        </w:rPr>
      </w:pPr>
    </w:p>
    <w:p w14:paraId="205A65B6" w14:textId="014A31B7" w:rsidR="0024489A" w:rsidRDefault="0024489A" w:rsidP="007D6A64">
      <w:pPr>
        <w:spacing w:after="0" w:line="240" w:lineRule="atLeast"/>
        <w:jc w:val="both"/>
        <w:rPr>
          <w:rFonts w:ascii="Arial" w:eastAsia="Times" w:hAnsi="Arial" w:cs="Arial"/>
          <w:color w:val="000000" w:themeColor="text1"/>
          <w:sz w:val="20"/>
          <w:szCs w:val="20"/>
        </w:rPr>
      </w:pPr>
      <w:r>
        <w:rPr>
          <w:rFonts w:ascii="Arial" w:hAnsi="Arial"/>
          <w:color w:val="000000" w:themeColor="text1"/>
          <w:sz w:val="20"/>
          <w:szCs w:val="20"/>
        </w:rPr>
        <w:t xml:space="preserve">Conversely, the net asset value of an employee </w:t>
      </w:r>
      <w:r w:rsidR="00C21290">
        <w:rPr>
          <w:rFonts w:ascii="Arial" w:hAnsi="Arial"/>
          <w:color w:val="000000" w:themeColor="text1"/>
          <w:sz w:val="20"/>
          <w:szCs w:val="20"/>
        </w:rPr>
        <w:t xml:space="preserve">shareholder </w:t>
      </w:r>
      <w:r>
        <w:rPr>
          <w:rFonts w:ascii="Arial" w:hAnsi="Arial"/>
          <w:color w:val="000000" w:themeColor="text1"/>
          <w:sz w:val="20"/>
          <w:szCs w:val="20"/>
        </w:rPr>
        <w:t xml:space="preserve">investment undertaking partially invested in the company’s listed securities (for example 90%, with the balance invested in money market funds) will fall below the company’s share price in a bull market because it will not be able to </w:t>
      </w:r>
      <w:r w:rsidR="00164CC6">
        <w:rPr>
          <w:rFonts w:ascii="Arial" w:hAnsi="Arial"/>
          <w:color w:val="000000" w:themeColor="text1"/>
          <w:sz w:val="20"/>
          <w:szCs w:val="20"/>
        </w:rPr>
        <w:t>capture</w:t>
      </w:r>
      <w:r>
        <w:rPr>
          <w:rFonts w:ascii="Arial" w:hAnsi="Arial"/>
          <w:color w:val="000000" w:themeColor="text1"/>
          <w:sz w:val="20"/>
          <w:szCs w:val="20"/>
        </w:rPr>
        <w:t xml:space="preserve"> the </w:t>
      </w:r>
      <w:r w:rsidR="00164CC6">
        <w:rPr>
          <w:rFonts w:ascii="Arial" w:hAnsi="Arial"/>
          <w:color w:val="000000" w:themeColor="text1"/>
          <w:sz w:val="20"/>
          <w:szCs w:val="20"/>
        </w:rPr>
        <w:t>full</w:t>
      </w:r>
      <w:r>
        <w:rPr>
          <w:rFonts w:ascii="Arial" w:hAnsi="Arial"/>
          <w:color w:val="000000" w:themeColor="text1"/>
          <w:sz w:val="20"/>
          <w:szCs w:val="20"/>
        </w:rPr>
        <w:t xml:space="preserve"> increase in share price.</w:t>
      </w:r>
    </w:p>
    <w:p w14:paraId="31710BBE" w14:textId="58DC431A" w:rsidR="005846D8" w:rsidRDefault="005846D8" w:rsidP="007D6A64">
      <w:pPr>
        <w:spacing w:after="0" w:line="240" w:lineRule="atLeast"/>
        <w:jc w:val="both"/>
        <w:rPr>
          <w:rFonts w:ascii="Arial" w:eastAsia="Times" w:hAnsi="Arial" w:cs="Arial"/>
          <w:color w:val="000000" w:themeColor="text1"/>
          <w:sz w:val="20"/>
          <w:szCs w:val="20"/>
          <w:lang w:eastAsia="fr-FR"/>
        </w:rPr>
      </w:pPr>
    </w:p>
    <w:p w14:paraId="5781B981" w14:textId="7C07F576" w:rsidR="007D6A64" w:rsidRPr="00CA4378" w:rsidRDefault="005846D8" w:rsidP="007D6A64">
      <w:pPr>
        <w:spacing w:after="0" w:line="240" w:lineRule="atLeast"/>
        <w:jc w:val="both"/>
        <w:rPr>
          <w:rFonts w:ascii="Arial" w:eastAsia="Times" w:hAnsi="Arial" w:cs="Arial"/>
          <w:color w:val="000000" w:themeColor="text1"/>
          <w:sz w:val="20"/>
          <w:szCs w:val="20"/>
        </w:rPr>
      </w:pPr>
      <w:r>
        <w:rPr>
          <w:rFonts w:ascii="Arial" w:hAnsi="Arial"/>
          <w:color w:val="000000" w:themeColor="text1"/>
          <w:sz w:val="20"/>
          <w:szCs w:val="20"/>
        </w:rPr>
        <w:t xml:space="preserve">To correct this difference, an </w:t>
      </w:r>
      <w:r>
        <w:rPr>
          <w:rFonts w:ascii="Arial" w:hAnsi="Arial"/>
          <w:bCs/>
          <w:color w:val="000000" w:themeColor="text1"/>
          <w:sz w:val="20"/>
          <w:szCs w:val="20"/>
        </w:rPr>
        <w:t>operation qualified as a “readjustment” or “recorrelation” between the share price and the fund net asset value</w:t>
      </w:r>
      <w:r w:rsidR="00073AED">
        <w:rPr>
          <w:rFonts w:ascii="Arial" w:hAnsi="Arial"/>
          <w:bCs/>
          <w:color w:val="000000" w:themeColor="text1"/>
          <w:sz w:val="20"/>
          <w:szCs w:val="20"/>
        </w:rPr>
        <w:t xml:space="preserve"> may be carried out</w:t>
      </w:r>
      <w:r>
        <w:rPr>
          <w:rFonts w:ascii="Arial" w:hAnsi="Arial"/>
          <w:bCs/>
          <w:color w:val="000000" w:themeColor="text1"/>
          <w:sz w:val="20"/>
          <w:szCs w:val="20"/>
        </w:rPr>
        <w:t>.</w:t>
      </w:r>
    </w:p>
    <w:p w14:paraId="26B666ED" w14:textId="77777777" w:rsidR="007D6A64" w:rsidRPr="00CA4378" w:rsidRDefault="007D6A64" w:rsidP="00D13937">
      <w:pPr>
        <w:spacing w:after="0" w:line="240" w:lineRule="atLeast"/>
        <w:jc w:val="both"/>
        <w:rPr>
          <w:rFonts w:ascii="Arial" w:eastAsia="Times New Roman" w:hAnsi="Arial" w:cs="Arial"/>
          <w:bCs/>
          <w:color w:val="000000" w:themeColor="text1"/>
          <w:sz w:val="20"/>
          <w:szCs w:val="20"/>
          <w:lang w:eastAsia="zh-TW"/>
        </w:rPr>
      </w:pPr>
    </w:p>
    <w:p w14:paraId="3E975C80" w14:textId="79B85E08" w:rsidR="007D6A64" w:rsidRPr="00CA4378" w:rsidRDefault="007D6A64" w:rsidP="007D6A64">
      <w:pPr>
        <w:spacing w:after="0" w:line="240" w:lineRule="atLeast"/>
        <w:jc w:val="both"/>
        <w:rPr>
          <w:rFonts w:ascii="Arial" w:eastAsia="Times New Roman" w:hAnsi="Arial" w:cs="Arial"/>
          <w:bCs/>
          <w:color w:val="000000" w:themeColor="text1"/>
          <w:sz w:val="20"/>
          <w:szCs w:val="20"/>
        </w:rPr>
      </w:pPr>
      <w:r>
        <w:rPr>
          <w:rFonts w:ascii="Arial" w:hAnsi="Arial"/>
          <w:bCs/>
          <w:color w:val="000000" w:themeColor="text1"/>
          <w:sz w:val="20"/>
          <w:szCs w:val="20"/>
        </w:rPr>
        <w:t xml:space="preserve">In this month’s paper, I will explain the reasons </w:t>
      </w:r>
      <w:r w:rsidR="00164CC6">
        <w:rPr>
          <w:rFonts w:ascii="Arial" w:hAnsi="Arial"/>
          <w:bCs/>
          <w:color w:val="000000" w:themeColor="text1"/>
          <w:sz w:val="20"/>
          <w:szCs w:val="20"/>
        </w:rPr>
        <w:t>for</w:t>
      </w:r>
      <w:r w:rsidR="007A3B12">
        <w:rPr>
          <w:rFonts w:ascii="Arial" w:hAnsi="Arial"/>
          <w:bCs/>
          <w:color w:val="000000" w:themeColor="text1"/>
          <w:sz w:val="20"/>
          <w:szCs w:val="20"/>
        </w:rPr>
        <w:t>,</w:t>
      </w:r>
      <w:r w:rsidR="00164CC6">
        <w:rPr>
          <w:rFonts w:ascii="Arial" w:hAnsi="Arial"/>
          <w:bCs/>
          <w:color w:val="000000" w:themeColor="text1"/>
          <w:sz w:val="20"/>
          <w:szCs w:val="20"/>
        </w:rPr>
        <w:t xml:space="preserve"> </w:t>
      </w:r>
      <w:r>
        <w:rPr>
          <w:rFonts w:ascii="Arial" w:hAnsi="Arial"/>
          <w:bCs/>
          <w:color w:val="000000" w:themeColor="text1"/>
          <w:sz w:val="20"/>
          <w:szCs w:val="20"/>
        </w:rPr>
        <w:t>and consequences of</w:t>
      </w:r>
      <w:r w:rsidR="007A3B12">
        <w:rPr>
          <w:rFonts w:ascii="Arial" w:hAnsi="Arial"/>
          <w:bCs/>
          <w:color w:val="000000" w:themeColor="text1"/>
          <w:sz w:val="20"/>
          <w:szCs w:val="20"/>
        </w:rPr>
        <w:t>,</w:t>
      </w:r>
      <w:r>
        <w:rPr>
          <w:rFonts w:ascii="Arial" w:hAnsi="Arial"/>
          <w:bCs/>
          <w:color w:val="000000" w:themeColor="text1"/>
          <w:sz w:val="20"/>
          <w:szCs w:val="20"/>
        </w:rPr>
        <w:t xml:space="preserve"> such an operation, which is often </w:t>
      </w:r>
      <w:r w:rsidR="00073AED">
        <w:rPr>
          <w:rFonts w:ascii="Arial" w:hAnsi="Arial"/>
          <w:bCs/>
          <w:color w:val="000000" w:themeColor="text1"/>
          <w:sz w:val="20"/>
          <w:szCs w:val="20"/>
        </w:rPr>
        <w:t>little known</w:t>
      </w:r>
      <w:r>
        <w:rPr>
          <w:rFonts w:ascii="Arial" w:hAnsi="Arial"/>
          <w:bCs/>
          <w:color w:val="000000" w:themeColor="text1"/>
          <w:sz w:val="20"/>
          <w:szCs w:val="20"/>
        </w:rPr>
        <w:t xml:space="preserve"> or poorly understood.</w:t>
      </w:r>
    </w:p>
    <w:p w14:paraId="4FC48280" w14:textId="77777777" w:rsidR="00D13937" w:rsidRPr="00D13937" w:rsidRDefault="00D13937" w:rsidP="00D13937">
      <w:pPr>
        <w:spacing w:after="0" w:line="240" w:lineRule="atLeast"/>
        <w:jc w:val="both"/>
        <w:rPr>
          <w:rFonts w:ascii="Arial" w:eastAsia="Times New Roman" w:hAnsi="Arial" w:cs="Arial"/>
          <w:bCs/>
          <w:color w:val="FF0000"/>
          <w:sz w:val="20"/>
          <w:szCs w:val="20"/>
          <w:lang w:eastAsia="zh-TW"/>
        </w:rPr>
      </w:pPr>
    </w:p>
    <w:p w14:paraId="40CF46D6" w14:textId="5D0D1AA1" w:rsidR="00D13937" w:rsidRPr="00D13937" w:rsidRDefault="00D13937" w:rsidP="00E25F57">
      <w:pPr>
        <w:pStyle w:val="Titre2"/>
      </w:pPr>
      <w:r>
        <w:t xml:space="preserve">The </w:t>
      </w:r>
      <w:r w:rsidR="007A3B12">
        <w:t>F</w:t>
      </w:r>
      <w:r>
        <w:t>acts</w:t>
      </w:r>
    </w:p>
    <w:p w14:paraId="6ADD4D84" w14:textId="77777777" w:rsidR="00D13937" w:rsidRPr="00D13937" w:rsidRDefault="00D13937" w:rsidP="00D13937">
      <w:pPr>
        <w:spacing w:after="0" w:line="220" w:lineRule="atLeast"/>
        <w:jc w:val="both"/>
        <w:rPr>
          <w:rFonts w:ascii="Arial" w:eastAsia="Times" w:hAnsi="Arial" w:cs="Arial"/>
          <w:sz w:val="20"/>
          <w:szCs w:val="20"/>
          <w:lang w:eastAsia="fr-FR"/>
        </w:rPr>
      </w:pPr>
    </w:p>
    <w:p w14:paraId="46F3AF9F" w14:textId="3EB9F168" w:rsidR="00D13937" w:rsidRPr="00CD6BDA" w:rsidRDefault="00D13937" w:rsidP="00D13937">
      <w:pPr>
        <w:spacing w:after="0" w:line="240" w:lineRule="atLeast"/>
        <w:jc w:val="both"/>
        <w:rPr>
          <w:rFonts w:ascii="Arial" w:hAnsi="Arial"/>
          <w:sz w:val="20"/>
          <w:szCs w:val="20"/>
        </w:rPr>
      </w:pPr>
      <w:r>
        <w:rPr>
          <w:rFonts w:ascii="Arial" w:hAnsi="Arial"/>
          <w:sz w:val="20"/>
          <w:szCs w:val="20"/>
        </w:rPr>
        <w:t xml:space="preserve">An employee of Company X, Mr. S., </w:t>
      </w:r>
      <w:r w:rsidR="00CD6BDA">
        <w:rPr>
          <w:rFonts w:ascii="Arial" w:hAnsi="Arial"/>
          <w:sz w:val="20"/>
          <w:szCs w:val="20"/>
        </w:rPr>
        <w:t>has</w:t>
      </w:r>
      <w:r>
        <w:rPr>
          <w:rFonts w:ascii="Arial" w:hAnsi="Arial"/>
          <w:sz w:val="20"/>
          <w:szCs w:val="20"/>
        </w:rPr>
        <w:t xml:space="preserve"> an employee savings plan</w:t>
      </w:r>
      <w:r w:rsidR="00CD6BDA">
        <w:rPr>
          <w:rFonts w:ascii="Arial" w:hAnsi="Arial"/>
          <w:sz w:val="20"/>
          <w:szCs w:val="20"/>
        </w:rPr>
        <w:t xml:space="preserve"> and</w:t>
      </w:r>
      <w:r>
        <w:rPr>
          <w:rFonts w:ascii="Arial" w:hAnsi="Arial"/>
          <w:sz w:val="20"/>
          <w:szCs w:val="20"/>
        </w:rPr>
        <w:t xml:space="preserve"> holds 1,000 units of fund A</w:t>
      </w:r>
      <w:r w:rsidR="00CD6BDA">
        <w:rPr>
          <w:rFonts w:ascii="Arial" w:hAnsi="Arial"/>
          <w:sz w:val="20"/>
          <w:szCs w:val="20"/>
        </w:rPr>
        <w:t xml:space="preserve"> which is</w:t>
      </w:r>
      <w:r>
        <w:rPr>
          <w:rFonts w:ascii="Arial" w:hAnsi="Arial"/>
          <w:sz w:val="20"/>
          <w:szCs w:val="20"/>
        </w:rPr>
        <w:t xml:space="preserve"> invested </w:t>
      </w:r>
      <w:r w:rsidR="00CD6BDA">
        <w:rPr>
          <w:rFonts w:ascii="Arial" w:hAnsi="Arial"/>
          <w:sz w:val="20"/>
          <w:szCs w:val="20"/>
        </w:rPr>
        <w:t xml:space="preserve">mainly </w:t>
      </w:r>
      <w:r>
        <w:rPr>
          <w:rFonts w:ascii="Arial" w:hAnsi="Arial"/>
          <w:sz w:val="20"/>
          <w:szCs w:val="20"/>
        </w:rPr>
        <w:t xml:space="preserve">in </w:t>
      </w:r>
      <w:r w:rsidR="00164CC6">
        <w:rPr>
          <w:rFonts w:ascii="Arial" w:hAnsi="Arial"/>
          <w:sz w:val="20"/>
          <w:szCs w:val="20"/>
        </w:rPr>
        <w:t xml:space="preserve">securities of </w:t>
      </w:r>
      <w:r w:rsidR="00073AED">
        <w:rPr>
          <w:rFonts w:ascii="Arial" w:hAnsi="Arial"/>
          <w:sz w:val="20"/>
          <w:szCs w:val="20"/>
        </w:rPr>
        <w:t>company X</w:t>
      </w:r>
      <w:r>
        <w:rPr>
          <w:rFonts w:ascii="Arial" w:hAnsi="Arial"/>
          <w:sz w:val="20"/>
          <w:szCs w:val="20"/>
        </w:rPr>
        <w:t xml:space="preserve">. </w:t>
      </w:r>
    </w:p>
    <w:p w14:paraId="0DA54B8B" w14:textId="77777777" w:rsidR="00D13937" w:rsidRPr="00D13937" w:rsidRDefault="00D13937" w:rsidP="00D13937">
      <w:pPr>
        <w:spacing w:after="0" w:line="240" w:lineRule="atLeast"/>
        <w:jc w:val="both"/>
        <w:rPr>
          <w:rFonts w:ascii="Arial" w:eastAsia="Times" w:hAnsi="Arial" w:cs="Arial"/>
          <w:sz w:val="20"/>
          <w:szCs w:val="20"/>
          <w:lang w:eastAsia="fr-FR"/>
        </w:rPr>
      </w:pPr>
    </w:p>
    <w:p w14:paraId="194FD2BD" w14:textId="69D182F2" w:rsidR="00D13937" w:rsidRPr="00D13937" w:rsidRDefault="00CD6BDA" w:rsidP="00D13937">
      <w:pPr>
        <w:spacing w:after="0" w:line="240" w:lineRule="atLeast"/>
        <w:jc w:val="both"/>
        <w:rPr>
          <w:rFonts w:ascii="Arial" w:eastAsia="Times" w:hAnsi="Arial" w:cs="Arial"/>
          <w:sz w:val="20"/>
          <w:szCs w:val="20"/>
        </w:rPr>
      </w:pPr>
      <w:r>
        <w:rPr>
          <w:rFonts w:ascii="Arial" w:hAnsi="Arial"/>
          <w:sz w:val="20"/>
          <w:szCs w:val="20"/>
        </w:rPr>
        <w:t>By</w:t>
      </w:r>
      <w:r w:rsidR="00D13937">
        <w:rPr>
          <w:rFonts w:ascii="Arial" w:hAnsi="Arial"/>
          <w:sz w:val="20"/>
          <w:szCs w:val="20"/>
        </w:rPr>
        <w:t xml:space="preserve"> reading </w:t>
      </w:r>
      <w:r>
        <w:rPr>
          <w:rFonts w:ascii="Arial" w:hAnsi="Arial"/>
          <w:sz w:val="20"/>
          <w:szCs w:val="20"/>
        </w:rPr>
        <w:t>information</w:t>
      </w:r>
      <w:r w:rsidR="00D13937">
        <w:rPr>
          <w:rFonts w:ascii="Arial" w:hAnsi="Arial"/>
          <w:sz w:val="20"/>
          <w:szCs w:val="20"/>
        </w:rPr>
        <w:t xml:space="preserve"> on </w:t>
      </w:r>
      <w:r>
        <w:rPr>
          <w:rFonts w:ascii="Arial" w:hAnsi="Arial"/>
          <w:sz w:val="20"/>
          <w:szCs w:val="20"/>
        </w:rPr>
        <w:t>his</w:t>
      </w:r>
      <w:r w:rsidR="00D13937">
        <w:rPr>
          <w:rFonts w:ascii="Arial" w:hAnsi="Arial"/>
          <w:sz w:val="20"/>
          <w:szCs w:val="20"/>
        </w:rPr>
        <w:t xml:space="preserve"> account holder’s website, </w:t>
      </w:r>
      <w:r w:rsidR="00164CC6">
        <w:rPr>
          <w:rFonts w:ascii="Arial" w:hAnsi="Arial"/>
          <w:sz w:val="20"/>
          <w:szCs w:val="20"/>
        </w:rPr>
        <w:t xml:space="preserve">he learned </w:t>
      </w:r>
      <w:r w:rsidR="00D13937">
        <w:rPr>
          <w:rFonts w:ascii="Arial" w:hAnsi="Arial"/>
          <w:sz w:val="20"/>
          <w:szCs w:val="20"/>
        </w:rPr>
        <w:t>that on 15 November 2018</w:t>
      </w:r>
      <w:r w:rsidR="00073AED">
        <w:rPr>
          <w:rFonts w:ascii="Arial" w:hAnsi="Arial"/>
          <w:sz w:val="20"/>
          <w:szCs w:val="20"/>
        </w:rPr>
        <w:t>,</w:t>
      </w:r>
      <w:r w:rsidR="00D13937">
        <w:rPr>
          <w:rFonts w:ascii="Arial" w:hAnsi="Arial"/>
          <w:sz w:val="20"/>
          <w:szCs w:val="20"/>
        </w:rPr>
        <w:t xml:space="preserve"> there had been a “recorrelation” operation to restore the </w:t>
      </w:r>
      <w:r w:rsidR="00164CC6">
        <w:rPr>
          <w:rFonts w:ascii="Arial" w:hAnsi="Arial"/>
          <w:sz w:val="20"/>
          <w:szCs w:val="20"/>
        </w:rPr>
        <w:t>match between the value of the units in</w:t>
      </w:r>
      <w:r w:rsidR="00D13937">
        <w:rPr>
          <w:rFonts w:ascii="Arial" w:hAnsi="Arial"/>
          <w:sz w:val="20"/>
          <w:szCs w:val="20"/>
        </w:rPr>
        <w:t xml:space="preserve"> fund A and the share price of X. </w:t>
      </w:r>
    </w:p>
    <w:p w14:paraId="26545BD4" w14:textId="77777777" w:rsidR="00D13937" w:rsidRPr="00D13937" w:rsidRDefault="00D13937" w:rsidP="00D13937">
      <w:pPr>
        <w:spacing w:after="0" w:line="240" w:lineRule="atLeast"/>
        <w:jc w:val="both"/>
        <w:rPr>
          <w:rFonts w:ascii="Arial" w:eastAsia="Times" w:hAnsi="Arial" w:cs="Arial"/>
          <w:sz w:val="20"/>
          <w:szCs w:val="20"/>
          <w:lang w:eastAsia="fr-FR"/>
        </w:rPr>
      </w:pPr>
    </w:p>
    <w:p w14:paraId="0D538C37" w14:textId="5883FE84" w:rsidR="00D13937" w:rsidRPr="00D13937" w:rsidRDefault="00D13937" w:rsidP="00D13937">
      <w:pPr>
        <w:spacing w:after="0" w:line="240" w:lineRule="atLeast"/>
        <w:jc w:val="both"/>
        <w:rPr>
          <w:rFonts w:ascii="Arial" w:eastAsia="Times" w:hAnsi="Arial" w:cs="Arial"/>
          <w:sz w:val="20"/>
          <w:szCs w:val="20"/>
        </w:rPr>
      </w:pPr>
      <w:r>
        <w:rPr>
          <w:rFonts w:ascii="Arial" w:hAnsi="Arial"/>
          <w:sz w:val="20"/>
          <w:szCs w:val="20"/>
        </w:rPr>
        <w:t>Considering that this operation m</w:t>
      </w:r>
      <w:r w:rsidR="00164CC6">
        <w:rPr>
          <w:rFonts w:ascii="Arial" w:hAnsi="Arial"/>
          <w:sz w:val="20"/>
          <w:szCs w:val="20"/>
        </w:rPr>
        <w:t>ight</w:t>
      </w:r>
      <w:r>
        <w:rPr>
          <w:rFonts w:ascii="Arial" w:hAnsi="Arial"/>
          <w:sz w:val="20"/>
          <w:szCs w:val="20"/>
        </w:rPr>
        <w:t xml:space="preserve"> be detrimental to him, Mr. S. sent a claim to his account holder. </w:t>
      </w:r>
    </w:p>
    <w:p w14:paraId="5936D64C" w14:textId="77777777" w:rsidR="00D13937" w:rsidRPr="00D13937" w:rsidRDefault="00D13937" w:rsidP="00D13937">
      <w:pPr>
        <w:spacing w:after="0" w:line="240" w:lineRule="atLeast"/>
        <w:jc w:val="both"/>
        <w:rPr>
          <w:rFonts w:ascii="Arial" w:eastAsia="Times" w:hAnsi="Arial" w:cs="Arial"/>
          <w:sz w:val="20"/>
          <w:szCs w:val="20"/>
          <w:lang w:eastAsia="fr-FR"/>
        </w:rPr>
      </w:pPr>
    </w:p>
    <w:p w14:paraId="27C803EB" w14:textId="34C30DFA" w:rsidR="00D13937" w:rsidRDefault="00DC1C07" w:rsidP="00D13937">
      <w:pPr>
        <w:spacing w:after="0" w:line="240" w:lineRule="atLeast"/>
        <w:jc w:val="both"/>
        <w:rPr>
          <w:rFonts w:ascii="Arial" w:eastAsia="Times" w:hAnsi="Arial" w:cs="Arial"/>
          <w:sz w:val="20"/>
          <w:szCs w:val="20"/>
        </w:rPr>
      </w:pPr>
      <w:r>
        <w:rPr>
          <w:rFonts w:ascii="Arial" w:hAnsi="Arial"/>
          <w:sz w:val="20"/>
          <w:szCs w:val="20"/>
        </w:rPr>
        <w:t>He argue</w:t>
      </w:r>
      <w:r w:rsidR="00164CC6">
        <w:rPr>
          <w:rFonts w:ascii="Arial" w:hAnsi="Arial"/>
          <w:sz w:val="20"/>
          <w:szCs w:val="20"/>
        </w:rPr>
        <w:t>d</w:t>
      </w:r>
      <w:r>
        <w:rPr>
          <w:rFonts w:ascii="Arial" w:hAnsi="Arial"/>
          <w:sz w:val="20"/>
          <w:szCs w:val="20"/>
        </w:rPr>
        <w:t xml:space="preserve"> that although this revaluation d</w:t>
      </w:r>
      <w:r w:rsidR="00073AED">
        <w:rPr>
          <w:rFonts w:ascii="Arial" w:hAnsi="Arial"/>
          <w:sz w:val="20"/>
          <w:szCs w:val="20"/>
        </w:rPr>
        <w:t>id</w:t>
      </w:r>
      <w:r>
        <w:rPr>
          <w:rFonts w:ascii="Arial" w:hAnsi="Arial"/>
          <w:sz w:val="20"/>
          <w:szCs w:val="20"/>
        </w:rPr>
        <w:t xml:space="preserve"> not change the amount of his assets at the time of the readjustment – given that the stock exchange </w:t>
      </w:r>
      <w:r w:rsidR="00073AED">
        <w:rPr>
          <w:rFonts w:ascii="Arial" w:hAnsi="Arial"/>
          <w:sz w:val="20"/>
          <w:szCs w:val="20"/>
        </w:rPr>
        <w:t>wa</w:t>
      </w:r>
      <w:r>
        <w:rPr>
          <w:rFonts w:ascii="Arial" w:hAnsi="Arial"/>
          <w:sz w:val="20"/>
          <w:szCs w:val="20"/>
        </w:rPr>
        <w:t xml:space="preserve">s closed – this </w:t>
      </w:r>
      <w:r w:rsidR="00073AED">
        <w:rPr>
          <w:rFonts w:ascii="Arial" w:hAnsi="Arial"/>
          <w:sz w:val="20"/>
          <w:szCs w:val="20"/>
        </w:rPr>
        <w:t>was</w:t>
      </w:r>
      <w:r>
        <w:rPr>
          <w:rFonts w:ascii="Arial" w:hAnsi="Arial"/>
          <w:sz w:val="20"/>
          <w:szCs w:val="20"/>
        </w:rPr>
        <w:t xml:space="preserve"> no longer the case </w:t>
      </w:r>
      <w:r w:rsidR="000346A6">
        <w:rPr>
          <w:rFonts w:ascii="Arial" w:hAnsi="Arial"/>
          <w:sz w:val="20"/>
          <w:szCs w:val="20"/>
        </w:rPr>
        <w:t>once</w:t>
      </w:r>
      <w:r w:rsidR="00073AED">
        <w:rPr>
          <w:rFonts w:ascii="Arial" w:hAnsi="Arial"/>
          <w:sz w:val="20"/>
          <w:szCs w:val="20"/>
        </w:rPr>
        <w:t xml:space="preserve"> </w:t>
      </w:r>
      <w:r>
        <w:rPr>
          <w:rFonts w:ascii="Arial" w:hAnsi="Arial"/>
          <w:sz w:val="20"/>
          <w:szCs w:val="20"/>
        </w:rPr>
        <w:t xml:space="preserve">the stock exchange </w:t>
      </w:r>
      <w:r w:rsidR="000346A6">
        <w:rPr>
          <w:rFonts w:ascii="Arial" w:hAnsi="Arial"/>
          <w:sz w:val="20"/>
          <w:szCs w:val="20"/>
        </w:rPr>
        <w:t xml:space="preserve">had </w:t>
      </w:r>
      <w:r>
        <w:rPr>
          <w:rFonts w:ascii="Arial" w:hAnsi="Arial"/>
          <w:sz w:val="20"/>
          <w:szCs w:val="20"/>
        </w:rPr>
        <w:t>open</w:t>
      </w:r>
      <w:r w:rsidR="00073AED">
        <w:rPr>
          <w:rFonts w:ascii="Arial" w:hAnsi="Arial"/>
          <w:sz w:val="20"/>
          <w:szCs w:val="20"/>
        </w:rPr>
        <w:t>ed</w:t>
      </w:r>
      <w:r>
        <w:rPr>
          <w:rFonts w:ascii="Arial" w:hAnsi="Arial"/>
          <w:sz w:val="20"/>
          <w:szCs w:val="20"/>
        </w:rPr>
        <w:t xml:space="preserve">. This is because, at that time, the price of the unit, </w:t>
      </w:r>
      <w:r w:rsidR="001A3CFE">
        <w:rPr>
          <w:rFonts w:ascii="Arial" w:hAnsi="Arial"/>
          <w:sz w:val="20"/>
          <w:szCs w:val="20"/>
        </w:rPr>
        <w:t xml:space="preserve">which was </w:t>
      </w:r>
      <w:r>
        <w:rPr>
          <w:rFonts w:ascii="Arial" w:hAnsi="Arial"/>
          <w:sz w:val="20"/>
          <w:szCs w:val="20"/>
        </w:rPr>
        <w:t>aligned with the share price, fell back to the previous day’s price</w:t>
      </w:r>
      <w:r w:rsidR="00073AED">
        <w:rPr>
          <w:rFonts w:ascii="Arial" w:hAnsi="Arial"/>
          <w:sz w:val="20"/>
          <w:szCs w:val="20"/>
        </w:rPr>
        <w:t>, which</w:t>
      </w:r>
      <w:r>
        <w:rPr>
          <w:rFonts w:ascii="Arial" w:hAnsi="Arial"/>
          <w:sz w:val="20"/>
          <w:szCs w:val="20"/>
        </w:rPr>
        <w:t>, according to Mr. S, resulted in an immediate loss for all unitholders.</w:t>
      </w:r>
    </w:p>
    <w:p w14:paraId="3F4B0DD6" w14:textId="77777777" w:rsidR="00DC1C07" w:rsidRPr="00D13937" w:rsidRDefault="00DC1C07" w:rsidP="00D13937">
      <w:pPr>
        <w:spacing w:after="0" w:line="240" w:lineRule="atLeast"/>
        <w:jc w:val="both"/>
        <w:rPr>
          <w:rFonts w:ascii="Arial" w:eastAsia="Times" w:hAnsi="Arial" w:cs="Arial"/>
          <w:sz w:val="20"/>
          <w:szCs w:val="20"/>
          <w:lang w:eastAsia="fr-FR"/>
        </w:rPr>
      </w:pPr>
    </w:p>
    <w:p w14:paraId="3D5E9ED0" w14:textId="4B612FF5" w:rsidR="00D13937" w:rsidRPr="00D13937" w:rsidRDefault="00D13937" w:rsidP="00D13937">
      <w:pPr>
        <w:spacing w:after="0" w:line="240" w:lineRule="atLeast"/>
        <w:jc w:val="both"/>
        <w:rPr>
          <w:rFonts w:ascii="Arial" w:eastAsia="Times" w:hAnsi="Arial" w:cs="Arial"/>
          <w:sz w:val="20"/>
          <w:szCs w:val="20"/>
        </w:rPr>
      </w:pPr>
      <w:r>
        <w:rPr>
          <w:rFonts w:ascii="Arial" w:hAnsi="Arial"/>
          <w:sz w:val="20"/>
          <w:szCs w:val="20"/>
        </w:rPr>
        <w:t>He ma</w:t>
      </w:r>
      <w:r w:rsidR="00164CC6">
        <w:rPr>
          <w:rFonts w:ascii="Arial" w:hAnsi="Arial"/>
          <w:sz w:val="20"/>
          <w:szCs w:val="20"/>
        </w:rPr>
        <w:t>d</w:t>
      </w:r>
      <w:r>
        <w:rPr>
          <w:rFonts w:ascii="Arial" w:hAnsi="Arial"/>
          <w:sz w:val="20"/>
          <w:szCs w:val="20"/>
        </w:rPr>
        <w:t>e the following observation to support his claim:</w:t>
      </w:r>
    </w:p>
    <w:p w14:paraId="71FF63C2" w14:textId="77777777" w:rsidR="00D13937" w:rsidRPr="00D13937" w:rsidRDefault="00D13937" w:rsidP="00D13937">
      <w:pPr>
        <w:spacing w:after="0" w:line="240" w:lineRule="atLeast"/>
        <w:jc w:val="both"/>
        <w:rPr>
          <w:rFonts w:ascii="Arial" w:eastAsia="Times" w:hAnsi="Arial" w:cs="Arial"/>
          <w:sz w:val="20"/>
          <w:szCs w:val="20"/>
          <w:lang w:eastAsia="fr-FR"/>
        </w:rPr>
      </w:pPr>
    </w:p>
    <w:p w14:paraId="6DA2ED47" w14:textId="195D067B" w:rsidR="00D13937" w:rsidRPr="00D13937" w:rsidRDefault="00D13937" w:rsidP="00D13937">
      <w:pPr>
        <w:numPr>
          <w:ilvl w:val="0"/>
          <w:numId w:val="1"/>
        </w:numPr>
        <w:autoSpaceDE w:val="0"/>
        <w:autoSpaceDN w:val="0"/>
        <w:adjustRightInd w:val="0"/>
        <w:spacing w:after="0" w:line="240" w:lineRule="atLeast"/>
        <w:contextualSpacing/>
        <w:jc w:val="both"/>
        <w:rPr>
          <w:rFonts w:ascii="Arial" w:eastAsia="Times New Roman" w:hAnsi="Arial" w:cs="Arial"/>
          <w:sz w:val="20"/>
          <w:szCs w:val="20"/>
        </w:rPr>
      </w:pPr>
      <w:r>
        <w:rPr>
          <w:rFonts w:ascii="Arial" w:hAnsi="Arial"/>
          <w:sz w:val="20"/>
          <w:szCs w:val="20"/>
          <w:u w:val="single"/>
        </w:rPr>
        <w:t>On 15 November 2018</w:t>
      </w:r>
      <w:r>
        <w:rPr>
          <w:rFonts w:ascii="Arial" w:hAnsi="Arial"/>
          <w:sz w:val="20"/>
          <w:szCs w:val="20"/>
        </w:rPr>
        <w:t xml:space="preserve">: after the recorrelation, </w:t>
      </w:r>
      <w:r>
        <w:rPr>
          <w:rFonts w:ascii="Arial" w:hAnsi="Arial"/>
          <w:bCs/>
          <w:iCs/>
          <w:sz w:val="20"/>
          <w:szCs w:val="20"/>
        </w:rPr>
        <w:t xml:space="preserve">the price of the unit was €14.72 (instead of </w:t>
      </w:r>
      <w:r w:rsidR="00073AED">
        <w:rPr>
          <w:rFonts w:ascii="Arial" w:hAnsi="Arial"/>
          <w:bCs/>
          <w:iCs/>
          <w:sz w:val="20"/>
          <w:szCs w:val="20"/>
        </w:rPr>
        <w:t>€</w:t>
      </w:r>
      <w:r>
        <w:rPr>
          <w:rFonts w:ascii="Arial" w:hAnsi="Arial"/>
          <w:bCs/>
          <w:iCs/>
          <w:sz w:val="20"/>
          <w:szCs w:val="20"/>
        </w:rPr>
        <w:t>14.62181), and the number of units that he held was reduced</w:t>
      </w:r>
      <w:r>
        <w:rPr>
          <w:rFonts w:ascii="Arial" w:hAnsi="Arial"/>
          <w:sz w:val="20"/>
          <w:szCs w:val="20"/>
        </w:rPr>
        <w:t xml:space="preserve"> by 6</w:t>
      </w:r>
      <w:r w:rsidR="00073AED">
        <w:rPr>
          <w:rFonts w:ascii="Arial" w:hAnsi="Arial"/>
          <w:sz w:val="20"/>
          <w:szCs w:val="20"/>
        </w:rPr>
        <w:t>.</w:t>
      </w:r>
      <w:r>
        <w:rPr>
          <w:rFonts w:ascii="Arial" w:hAnsi="Arial"/>
          <w:sz w:val="20"/>
          <w:szCs w:val="20"/>
        </w:rPr>
        <w:t>671 units. He was therefore left with 993.329 units (instead of 1000).</w:t>
      </w:r>
    </w:p>
    <w:p w14:paraId="1E75BAE6" w14:textId="2A49F400" w:rsidR="00D13937" w:rsidRPr="00D13937" w:rsidRDefault="00D13937" w:rsidP="00D13937">
      <w:pPr>
        <w:numPr>
          <w:ilvl w:val="0"/>
          <w:numId w:val="1"/>
        </w:numPr>
        <w:autoSpaceDE w:val="0"/>
        <w:autoSpaceDN w:val="0"/>
        <w:adjustRightInd w:val="0"/>
        <w:spacing w:after="0" w:line="240" w:lineRule="atLeast"/>
        <w:contextualSpacing/>
        <w:jc w:val="both"/>
        <w:rPr>
          <w:rFonts w:ascii="Arial" w:eastAsia="Times New Roman" w:hAnsi="Arial" w:cs="Arial"/>
          <w:bCs/>
          <w:iCs/>
          <w:sz w:val="20"/>
          <w:szCs w:val="20"/>
        </w:rPr>
      </w:pPr>
      <w:r>
        <w:rPr>
          <w:rFonts w:ascii="Arial" w:hAnsi="Arial"/>
          <w:sz w:val="20"/>
          <w:szCs w:val="20"/>
          <w:u w:val="single"/>
        </w:rPr>
        <w:t>On 16 November 2018</w:t>
      </w:r>
      <w:r>
        <w:rPr>
          <w:rFonts w:ascii="Arial" w:hAnsi="Arial"/>
          <w:sz w:val="20"/>
          <w:szCs w:val="20"/>
        </w:rPr>
        <w:t xml:space="preserve">: the price of the unit, aligned with the price of the </w:t>
      </w:r>
      <w:r w:rsidR="00073AED">
        <w:rPr>
          <w:rFonts w:ascii="Arial" w:hAnsi="Arial"/>
          <w:sz w:val="20"/>
          <w:szCs w:val="20"/>
        </w:rPr>
        <w:t>X share</w:t>
      </w:r>
      <w:r>
        <w:rPr>
          <w:rFonts w:ascii="Arial" w:hAnsi="Arial"/>
          <w:sz w:val="20"/>
          <w:szCs w:val="20"/>
        </w:rPr>
        <w:t>, returned to the previous day’s price</w:t>
      </w:r>
      <w:r w:rsidR="00073AED">
        <w:rPr>
          <w:rFonts w:ascii="Arial" w:hAnsi="Arial"/>
          <w:sz w:val="20"/>
          <w:szCs w:val="20"/>
        </w:rPr>
        <w:t xml:space="preserve"> of</w:t>
      </w:r>
      <w:r>
        <w:rPr>
          <w:rFonts w:ascii="Arial" w:hAnsi="Arial"/>
          <w:sz w:val="20"/>
          <w:szCs w:val="20"/>
        </w:rPr>
        <w:t xml:space="preserve"> €14.62, leading to an immediate loss of €97.53 </w:t>
      </w:r>
      <w:r>
        <w:rPr>
          <w:rFonts w:ascii="Arial" w:hAnsi="Arial"/>
          <w:bCs/>
          <w:iCs/>
          <w:sz w:val="20"/>
          <w:szCs w:val="20"/>
        </w:rPr>
        <w:t>(€14.62 x 6</w:t>
      </w:r>
      <w:r w:rsidR="00073AED">
        <w:rPr>
          <w:rFonts w:ascii="Arial" w:hAnsi="Arial"/>
          <w:bCs/>
          <w:iCs/>
          <w:sz w:val="20"/>
          <w:szCs w:val="20"/>
        </w:rPr>
        <w:t>.</w:t>
      </w:r>
      <w:r>
        <w:rPr>
          <w:rFonts w:ascii="Arial" w:hAnsi="Arial"/>
          <w:bCs/>
          <w:iCs/>
          <w:sz w:val="20"/>
          <w:szCs w:val="20"/>
        </w:rPr>
        <w:t xml:space="preserve">671 units). </w:t>
      </w:r>
    </w:p>
    <w:p w14:paraId="258FD802" w14:textId="77777777" w:rsidR="00D13937" w:rsidRPr="00D13937" w:rsidRDefault="00D13937" w:rsidP="00D13937">
      <w:pPr>
        <w:spacing w:after="0" w:line="240" w:lineRule="atLeast"/>
        <w:jc w:val="both"/>
        <w:rPr>
          <w:rFonts w:ascii="Arial" w:eastAsia="Times" w:hAnsi="Arial" w:cs="Arial"/>
          <w:sz w:val="20"/>
          <w:szCs w:val="20"/>
          <w:lang w:eastAsia="fr-FR"/>
        </w:rPr>
      </w:pPr>
    </w:p>
    <w:p w14:paraId="1A5E7F06" w14:textId="7BFAD4E1" w:rsidR="00D13937" w:rsidRPr="00D13937" w:rsidRDefault="00DC1C07" w:rsidP="00D13937">
      <w:pPr>
        <w:spacing w:after="0" w:line="240" w:lineRule="atLeast"/>
        <w:jc w:val="both"/>
        <w:rPr>
          <w:rFonts w:ascii="Arial" w:eastAsia="Times" w:hAnsi="Arial" w:cs="Arial"/>
          <w:sz w:val="20"/>
          <w:szCs w:val="20"/>
        </w:rPr>
      </w:pPr>
      <w:r>
        <w:rPr>
          <w:rFonts w:ascii="Arial" w:hAnsi="Arial"/>
          <w:sz w:val="20"/>
          <w:szCs w:val="20"/>
        </w:rPr>
        <w:t>After receiving an answer that he consider</w:t>
      </w:r>
      <w:r w:rsidR="00164CC6">
        <w:rPr>
          <w:rFonts w:ascii="Arial" w:hAnsi="Arial"/>
          <w:sz w:val="20"/>
          <w:szCs w:val="20"/>
        </w:rPr>
        <w:t>ed</w:t>
      </w:r>
      <w:r>
        <w:rPr>
          <w:rFonts w:ascii="Arial" w:hAnsi="Arial"/>
          <w:sz w:val="20"/>
          <w:szCs w:val="20"/>
        </w:rPr>
        <w:t xml:space="preserve"> unsatisfactory, this client therefore requested my intervention to make his account holder restore his employee savings scheme to its original state and to return the units that had been cancelled.</w:t>
      </w:r>
    </w:p>
    <w:p w14:paraId="363BC8CB" w14:textId="764DEB71" w:rsidR="00D13937" w:rsidRPr="00D13937" w:rsidRDefault="00D13937" w:rsidP="00E25F57">
      <w:pPr>
        <w:pStyle w:val="Titre2"/>
      </w:pPr>
      <w:r>
        <w:lastRenderedPageBreak/>
        <w:t xml:space="preserve">The </w:t>
      </w:r>
      <w:r w:rsidR="00890552">
        <w:t>I</w:t>
      </w:r>
      <w:r>
        <w:t>nvestigation</w:t>
      </w:r>
    </w:p>
    <w:p w14:paraId="2E92F5C1" w14:textId="77777777" w:rsidR="00D13937" w:rsidRPr="00D13937" w:rsidRDefault="00D13937" w:rsidP="00D13937">
      <w:pPr>
        <w:spacing w:after="0" w:line="240" w:lineRule="atLeast"/>
        <w:jc w:val="both"/>
        <w:rPr>
          <w:rFonts w:ascii="Arial" w:eastAsia="Times" w:hAnsi="Arial" w:cs="Arial"/>
          <w:sz w:val="20"/>
          <w:szCs w:val="20"/>
          <w:lang w:eastAsia="fr-FR"/>
        </w:rPr>
      </w:pPr>
    </w:p>
    <w:p w14:paraId="56EAB711" w14:textId="136B3F47" w:rsidR="00D13937" w:rsidRPr="00D13937" w:rsidRDefault="00D13937" w:rsidP="00D13937">
      <w:pPr>
        <w:spacing w:after="0" w:line="240" w:lineRule="atLeast"/>
        <w:jc w:val="both"/>
        <w:rPr>
          <w:rFonts w:ascii="Arial" w:hAnsi="Arial" w:cs="Arial"/>
          <w:sz w:val="20"/>
          <w:szCs w:val="20"/>
        </w:rPr>
      </w:pPr>
      <w:r>
        <w:rPr>
          <w:rFonts w:ascii="Arial" w:hAnsi="Arial"/>
          <w:sz w:val="20"/>
          <w:szCs w:val="20"/>
        </w:rPr>
        <w:t xml:space="preserve">I </w:t>
      </w:r>
      <w:r w:rsidR="00164CC6">
        <w:rPr>
          <w:rFonts w:ascii="Arial" w:hAnsi="Arial"/>
          <w:sz w:val="20"/>
          <w:szCs w:val="20"/>
        </w:rPr>
        <w:t xml:space="preserve">began by </w:t>
      </w:r>
      <w:r>
        <w:rPr>
          <w:rFonts w:ascii="Arial" w:hAnsi="Arial"/>
          <w:sz w:val="20"/>
          <w:szCs w:val="20"/>
        </w:rPr>
        <w:t>examin</w:t>
      </w:r>
      <w:r w:rsidR="00164CC6">
        <w:rPr>
          <w:rFonts w:ascii="Arial" w:hAnsi="Arial"/>
          <w:sz w:val="20"/>
          <w:szCs w:val="20"/>
        </w:rPr>
        <w:t>ing</w:t>
      </w:r>
      <w:r>
        <w:rPr>
          <w:rFonts w:ascii="Arial" w:hAnsi="Arial"/>
          <w:sz w:val="20"/>
          <w:szCs w:val="20"/>
        </w:rPr>
        <w:t xml:space="preserve"> the regulatory documentation of the fund and noted that fund A’s investment objective is </w:t>
      </w:r>
      <w:r>
        <w:rPr>
          <w:rFonts w:ascii="Arial" w:hAnsi="Arial"/>
          <w:i/>
          <w:sz w:val="20"/>
          <w:szCs w:val="20"/>
        </w:rPr>
        <w:t>“to replicate the performance of the X share”</w:t>
      </w:r>
      <w:r>
        <w:rPr>
          <w:rFonts w:ascii="Arial" w:hAnsi="Arial"/>
          <w:sz w:val="20"/>
          <w:szCs w:val="20"/>
        </w:rPr>
        <w:t>. This fund</w:t>
      </w:r>
      <w:r w:rsidR="00C21290">
        <w:rPr>
          <w:rFonts w:ascii="Arial" w:hAnsi="Arial"/>
          <w:sz w:val="20"/>
          <w:szCs w:val="20"/>
        </w:rPr>
        <w:t xml:space="preserve"> is</w:t>
      </w:r>
      <w:r>
        <w:rPr>
          <w:rFonts w:ascii="Arial" w:hAnsi="Arial"/>
          <w:sz w:val="20"/>
          <w:szCs w:val="20"/>
        </w:rPr>
        <w:t xml:space="preserve"> approved by the AMF</w:t>
      </w:r>
      <w:r w:rsidR="00C21290">
        <w:rPr>
          <w:rFonts w:ascii="Arial" w:hAnsi="Arial"/>
          <w:sz w:val="20"/>
          <w:szCs w:val="20"/>
        </w:rPr>
        <w:t xml:space="preserve"> and</w:t>
      </w:r>
      <w:r>
        <w:rPr>
          <w:rFonts w:ascii="Arial" w:hAnsi="Arial"/>
          <w:sz w:val="20"/>
          <w:szCs w:val="20"/>
        </w:rPr>
        <w:t xml:space="preserve"> invests between 90% and 100% of its assets in X shares and up to 10% of its assets in UCITS classified as "money market” and/or “short-term money market” funds. It is also specified that the net asset value will increase or decrease according to the price of the X share.</w:t>
      </w:r>
    </w:p>
    <w:p w14:paraId="057DEBBC" w14:textId="77777777" w:rsidR="00D13937" w:rsidRPr="00D13937" w:rsidRDefault="00D13937" w:rsidP="00D13937">
      <w:pPr>
        <w:spacing w:after="0" w:line="240" w:lineRule="atLeast"/>
        <w:jc w:val="both"/>
        <w:rPr>
          <w:rFonts w:ascii="Arial" w:eastAsia="Times" w:hAnsi="Arial" w:cs="Arial"/>
          <w:sz w:val="20"/>
          <w:szCs w:val="20"/>
          <w:lang w:eastAsia="fr-FR"/>
        </w:rPr>
      </w:pPr>
    </w:p>
    <w:p w14:paraId="4AC935A2" w14:textId="72227D50" w:rsidR="00D13937" w:rsidRDefault="00E27355" w:rsidP="00D13937">
      <w:pPr>
        <w:spacing w:after="0" w:line="240" w:lineRule="atLeast"/>
        <w:jc w:val="both"/>
        <w:rPr>
          <w:rFonts w:ascii="Arial" w:hAnsi="Arial" w:cs="Arial"/>
          <w:i/>
          <w:sz w:val="20"/>
          <w:szCs w:val="20"/>
        </w:rPr>
      </w:pPr>
      <w:r>
        <w:rPr>
          <w:rFonts w:ascii="Arial" w:hAnsi="Arial"/>
          <w:sz w:val="20"/>
          <w:szCs w:val="20"/>
        </w:rPr>
        <w:t xml:space="preserve">The fund prospectus also states that </w:t>
      </w:r>
      <w:r>
        <w:rPr>
          <w:rFonts w:ascii="Arial" w:hAnsi="Arial"/>
          <w:i/>
          <w:sz w:val="20"/>
          <w:szCs w:val="20"/>
        </w:rPr>
        <w:t xml:space="preserve">“to limit </w:t>
      </w:r>
      <w:r w:rsidR="00073AED">
        <w:rPr>
          <w:rFonts w:ascii="Arial" w:hAnsi="Arial"/>
          <w:i/>
          <w:sz w:val="20"/>
          <w:szCs w:val="20"/>
        </w:rPr>
        <w:t xml:space="preserve">any </w:t>
      </w:r>
      <w:r>
        <w:rPr>
          <w:rFonts w:ascii="Arial" w:hAnsi="Arial"/>
          <w:i/>
          <w:sz w:val="20"/>
          <w:szCs w:val="20"/>
        </w:rPr>
        <w:t xml:space="preserve">disparity that may appear between the net asset value of the unit and the price of the X share, the number of shares may be readjusted”. </w:t>
      </w:r>
    </w:p>
    <w:p w14:paraId="241B5362" w14:textId="77777777" w:rsidR="00D93E4F" w:rsidRDefault="00D93E4F" w:rsidP="00D13937">
      <w:pPr>
        <w:spacing w:after="0" w:line="240" w:lineRule="atLeast"/>
        <w:jc w:val="both"/>
        <w:rPr>
          <w:rFonts w:ascii="Arial" w:hAnsi="Arial" w:cs="Arial"/>
          <w:i/>
          <w:sz w:val="20"/>
          <w:szCs w:val="20"/>
        </w:rPr>
      </w:pPr>
    </w:p>
    <w:p w14:paraId="475A8DAC" w14:textId="77777777" w:rsidR="00F41B79" w:rsidRPr="00D13937" w:rsidRDefault="00F41B79" w:rsidP="00D13937">
      <w:pPr>
        <w:spacing w:after="0" w:line="240" w:lineRule="atLeast"/>
        <w:jc w:val="both"/>
        <w:rPr>
          <w:rFonts w:ascii="Arial" w:hAnsi="Arial" w:cs="Arial"/>
          <w:i/>
          <w:sz w:val="20"/>
          <w:szCs w:val="20"/>
        </w:rPr>
      </w:pPr>
    </w:p>
    <w:p w14:paraId="77F9ECBA" w14:textId="77777777" w:rsidR="00D13937" w:rsidRPr="00D13937" w:rsidRDefault="00D13937" w:rsidP="00D1393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spacing w:after="0" w:line="220" w:lineRule="atLeast"/>
        <w:jc w:val="both"/>
        <w:rPr>
          <w:rFonts w:ascii="Arial" w:eastAsia="Times" w:hAnsi="Arial" w:cs="Arial"/>
          <w:b/>
          <w:sz w:val="20"/>
          <w:szCs w:val="20"/>
        </w:rPr>
      </w:pPr>
      <w:r>
        <w:rPr>
          <w:rFonts w:ascii="Arial" w:hAnsi="Arial"/>
          <w:b/>
          <w:sz w:val="20"/>
          <w:szCs w:val="20"/>
        </w:rPr>
        <w:t>What is a readjustment (or recorrelation) operation?</w:t>
      </w:r>
    </w:p>
    <w:p w14:paraId="49FB9554" w14:textId="77777777" w:rsidR="00D13937" w:rsidRPr="00D13937" w:rsidRDefault="00D13937" w:rsidP="00D1393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spacing w:after="0" w:line="220" w:lineRule="atLeast"/>
        <w:jc w:val="both"/>
        <w:rPr>
          <w:rFonts w:ascii="Arial" w:eastAsia="Times" w:hAnsi="Arial" w:cs="Arial"/>
          <w:sz w:val="20"/>
          <w:szCs w:val="20"/>
          <w:lang w:eastAsia="fr-FR"/>
        </w:rPr>
      </w:pPr>
    </w:p>
    <w:p w14:paraId="539C97CC" w14:textId="2E9DC43B" w:rsidR="00D13937" w:rsidRPr="00D13937" w:rsidRDefault="00D13937" w:rsidP="00D1393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spacing w:after="0" w:line="220" w:lineRule="atLeast"/>
        <w:jc w:val="both"/>
        <w:rPr>
          <w:rFonts w:ascii="Arial" w:eastAsia="Times" w:hAnsi="Arial" w:cs="Arial"/>
          <w:sz w:val="20"/>
          <w:szCs w:val="20"/>
        </w:rPr>
      </w:pPr>
      <w:r>
        <w:rPr>
          <w:rFonts w:ascii="Arial" w:hAnsi="Arial"/>
          <w:sz w:val="20"/>
          <w:szCs w:val="20"/>
        </w:rPr>
        <w:t xml:space="preserve">When there is </w:t>
      </w:r>
      <w:r w:rsidR="00C21290">
        <w:rPr>
          <w:rFonts w:ascii="Arial" w:hAnsi="Arial"/>
          <w:sz w:val="20"/>
          <w:szCs w:val="20"/>
        </w:rPr>
        <w:t>too large a</w:t>
      </w:r>
      <w:r>
        <w:rPr>
          <w:rFonts w:ascii="Arial" w:hAnsi="Arial"/>
          <w:sz w:val="20"/>
          <w:szCs w:val="20"/>
        </w:rPr>
        <w:t xml:space="preserve"> difference between the net asset value of the unit and the share price, a readjustment must be made to adjust the value of the fund unit </w:t>
      </w:r>
      <w:r w:rsidR="00C21290">
        <w:rPr>
          <w:rFonts w:ascii="Arial" w:hAnsi="Arial"/>
          <w:sz w:val="20"/>
          <w:szCs w:val="20"/>
        </w:rPr>
        <w:t>to</w:t>
      </w:r>
      <w:r>
        <w:rPr>
          <w:rFonts w:ascii="Arial" w:hAnsi="Arial"/>
          <w:sz w:val="20"/>
          <w:szCs w:val="20"/>
        </w:rPr>
        <w:t xml:space="preserve"> the share price. </w:t>
      </w:r>
    </w:p>
    <w:p w14:paraId="3978569C" w14:textId="77777777" w:rsidR="00D13937" w:rsidRPr="00D13937" w:rsidRDefault="00D13937" w:rsidP="00D1393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spacing w:after="0" w:line="220" w:lineRule="atLeast"/>
        <w:jc w:val="both"/>
        <w:rPr>
          <w:rFonts w:ascii="Arial" w:eastAsia="Times" w:hAnsi="Arial" w:cs="Arial"/>
          <w:sz w:val="20"/>
          <w:szCs w:val="20"/>
          <w:lang w:eastAsia="fr-FR"/>
        </w:rPr>
      </w:pPr>
    </w:p>
    <w:p w14:paraId="589F6EEB" w14:textId="57E4CA76" w:rsidR="00D13937" w:rsidRPr="00E25F57" w:rsidRDefault="00D13937" w:rsidP="00D1393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spacing w:after="0" w:line="220" w:lineRule="atLeast"/>
        <w:jc w:val="both"/>
        <w:rPr>
          <w:rFonts w:ascii="Arial" w:hAnsi="Arial" w:cs="Arial"/>
          <w:sz w:val="20"/>
          <w:szCs w:val="20"/>
        </w:rPr>
      </w:pPr>
      <w:r>
        <w:rPr>
          <w:rFonts w:ascii="Arial" w:hAnsi="Arial"/>
          <w:sz w:val="20"/>
          <w:szCs w:val="20"/>
        </w:rPr>
        <w:t>The readjustment is similar to a classic corporate action that does not require AMF authorisation, especially since this adjustment is provided for in the fund regulations.</w:t>
      </w:r>
    </w:p>
    <w:p w14:paraId="776F1BD0" w14:textId="77777777" w:rsidR="00E25F57" w:rsidRPr="00D13937" w:rsidRDefault="00E25F57" w:rsidP="00D1393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spacing w:after="0" w:line="220" w:lineRule="atLeast"/>
        <w:jc w:val="both"/>
        <w:rPr>
          <w:rFonts w:ascii="Arial" w:hAnsi="Arial" w:cs="Arial"/>
          <w:sz w:val="20"/>
          <w:szCs w:val="20"/>
        </w:rPr>
      </w:pPr>
    </w:p>
    <w:p w14:paraId="7C8AF0B9" w14:textId="77777777" w:rsidR="00D13937" w:rsidRPr="00D13937" w:rsidRDefault="00D13937" w:rsidP="00D13937">
      <w:pPr>
        <w:spacing w:after="0" w:line="220" w:lineRule="atLeast"/>
        <w:jc w:val="both"/>
        <w:rPr>
          <w:rFonts w:ascii="Arial" w:eastAsia="Times" w:hAnsi="Arial" w:cs="Arial"/>
          <w:sz w:val="20"/>
          <w:szCs w:val="20"/>
          <w:lang w:eastAsia="fr-FR"/>
        </w:rPr>
      </w:pPr>
    </w:p>
    <w:p w14:paraId="6D79975C" w14:textId="77777777" w:rsidR="00D13937" w:rsidRPr="00D13937" w:rsidRDefault="00D13937" w:rsidP="00D13937">
      <w:pPr>
        <w:spacing w:after="0" w:line="240" w:lineRule="atLeast"/>
        <w:jc w:val="both"/>
        <w:rPr>
          <w:rFonts w:ascii="Arial" w:eastAsia="Times" w:hAnsi="Arial" w:cs="Arial"/>
          <w:sz w:val="20"/>
          <w:szCs w:val="20"/>
          <w:lang w:eastAsia="fr-FR"/>
        </w:rPr>
      </w:pPr>
    </w:p>
    <w:p w14:paraId="6CB09017" w14:textId="330A26A0" w:rsidR="00D13937" w:rsidRPr="00D13937" w:rsidRDefault="00D13937" w:rsidP="00D13937">
      <w:pPr>
        <w:spacing w:after="0" w:line="240" w:lineRule="atLeast"/>
        <w:jc w:val="both"/>
        <w:rPr>
          <w:rFonts w:ascii="Arial" w:eastAsia="Times" w:hAnsi="Arial" w:cs="Arial"/>
          <w:sz w:val="20"/>
          <w:szCs w:val="20"/>
        </w:rPr>
      </w:pPr>
      <w:r>
        <w:rPr>
          <w:rFonts w:ascii="Arial" w:hAnsi="Arial"/>
          <w:sz w:val="20"/>
          <w:szCs w:val="20"/>
        </w:rPr>
        <w:t xml:space="preserve">In this case, to realign the unit price on the X share price, a recorrelation was carried out on 15 November 2018. The number of units of the fund was readjusted and the revalued net asset value thus realigned the value of the unit with the X share price. After this operation, the value of the unit of the fund A was therefore equal to the opening price of the X share, i.e. €14.72. </w:t>
      </w:r>
    </w:p>
    <w:p w14:paraId="4C94C34E" w14:textId="77777777" w:rsidR="00D13937" w:rsidRPr="00D13937" w:rsidRDefault="00D13937" w:rsidP="00D13937">
      <w:pPr>
        <w:spacing w:after="0" w:line="240" w:lineRule="atLeast"/>
        <w:jc w:val="both"/>
        <w:rPr>
          <w:rFonts w:ascii="Arial" w:eastAsia="Times" w:hAnsi="Arial" w:cs="Arial"/>
          <w:sz w:val="20"/>
          <w:szCs w:val="20"/>
          <w:lang w:eastAsia="fr-FR"/>
        </w:rPr>
      </w:pPr>
    </w:p>
    <w:p w14:paraId="02157868" w14:textId="5C378453" w:rsidR="00D13937" w:rsidRPr="00D13937" w:rsidRDefault="00D13937" w:rsidP="00D13937">
      <w:pPr>
        <w:spacing w:after="0" w:line="240" w:lineRule="atLeast"/>
        <w:jc w:val="both"/>
        <w:rPr>
          <w:rFonts w:ascii="Arial" w:eastAsia="Times New Roman" w:hAnsi="Arial" w:cs="Arial"/>
          <w:b/>
          <w:sz w:val="20"/>
          <w:szCs w:val="20"/>
        </w:rPr>
      </w:pPr>
      <w:r>
        <w:rPr>
          <w:rFonts w:ascii="Arial" w:hAnsi="Arial"/>
          <w:sz w:val="20"/>
          <w:szCs w:val="20"/>
        </w:rPr>
        <w:t xml:space="preserve">I explained to Mr. S., as he himself acknowledged, that this operation was neutral at the time the readjustment was made and had had no impact on the overall valuation of his investment. </w:t>
      </w:r>
      <w:r>
        <w:rPr>
          <w:rFonts w:ascii="Arial" w:hAnsi="Arial"/>
          <w:b/>
          <w:sz w:val="20"/>
          <w:szCs w:val="20"/>
          <w:u w:val="single"/>
        </w:rPr>
        <w:t xml:space="preserve">This is because, after the operation, although the investor has fewer units, the value of each unit </w:t>
      </w:r>
      <w:r w:rsidR="00073AED">
        <w:rPr>
          <w:rFonts w:ascii="Arial" w:hAnsi="Arial"/>
          <w:b/>
          <w:sz w:val="20"/>
          <w:szCs w:val="20"/>
          <w:u w:val="single"/>
        </w:rPr>
        <w:t xml:space="preserve">is </w:t>
      </w:r>
      <w:r>
        <w:rPr>
          <w:rFonts w:ascii="Arial" w:hAnsi="Arial"/>
          <w:b/>
          <w:sz w:val="20"/>
          <w:szCs w:val="20"/>
          <w:u w:val="single"/>
        </w:rPr>
        <w:t xml:space="preserve"> increased accordingly</w:t>
      </w:r>
      <w:r>
        <w:rPr>
          <w:rFonts w:ascii="Arial" w:hAnsi="Arial"/>
          <w:b/>
          <w:sz w:val="20"/>
          <w:szCs w:val="20"/>
        </w:rPr>
        <w:t>.</w:t>
      </w:r>
    </w:p>
    <w:p w14:paraId="0CB8E4EF" w14:textId="77777777" w:rsidR="00D13937" w:rsidRPr="00D13937" w:rsidRDefault="00D13937" w:rsidP="00D13937">
      <w:pPr>
        <w:spacing w:after="0" w:line="240" w:lineRule="atLeast"/>
        <w:jc w:val="both"/>
        <w:rPr>
          <w:rFonts w:ascii="Arial" w:eastAsia="Times" w:hAnsi="Arial" w:cs="Arial"/>
          <w:sz w:val="20"/>
          <w:szCs w:val="20"/>
          <w:lang w:eastAsia="fr-FR"/>
        </w:rPr>
      </w:pPr>
    </w:p>
    <w:p w14:paraId="2C334C51" w14:textId="24CA9530" w:rsidR="00D13937" w:rsidRPr="00D13937" w:rsidRDefault="00D13937" w:rsidP="00D13937">
      <w:pPr>
        <w:spacing w:after="0" w:line="240" w:lineRule="atLeast"/>
        <w:jc w:val="both"/>
        <w:rPr>
          <w:rFonts w:ascii="Arial" w:eastAsia="Times" w:hAnsi="Arial" w:cs="Arial"/>
          <w:sz w:val="20"/>
          <w:szCs w:val="20"/>
        </w:rPr>
      </w:pPr>
      <w:r>
        <w:rPr>
          <w:rFonts w:ascii="Arial" w:hAnsi="Arial"/>
          <w:sz w:val="20"/>
          <w:szCs w:val="20"/>
        </w:rPr>
        <w:t>To support my analysis, I performed several comparisons for Mr. S over time. The first analysis consisted in examining his portfolio status before and after readjustment. It turned out that the overall valuation was strictly identical:</w:t>
      </w:r>
    </w:p>
    <w:p w14:paraId="47037F55" w14:textId="77777777" w:rsidR="00D13937" w:rsidRPr="00D13937" w:rsidRDefault="00D13937" w:rsidP="00D13937">
      <w:pPr>
        <w:spacing w:after="0" w:line="220" w:lineRule="atLeast"/>
        <w:jc w:val="center"/>
        <w:rPr>
          <w:rFonts w:ascii="Arial" w:eastAsia="Times" w:hAnsi="Arial" w:cs="Times New Roman"/>
          <w:lang w:eastAsia="fr-FR"/>
        </w:rPr>
      </w:pPr>
    </w:p>
    <w:tbl>
      <w:tblPr>
        <w:tblStyle w:val="Grilledutableau"/>
        <w:tblW w:w="8662" w:type="dxa"/>
        <w:jc w:val="center"/>
        <w:tblLayout w:type="fixed"/>
        <w:tblLook w:val="04A0" w:firstRow="1" w:lastRow="0" w:firstColumn="1" w:lastColumn="0" w:noHBand="0" w:noVBand="1"/>
      </w:tblPr>
      <w:tblGrid>
        <w:gridCol w:w="1999"/>
        <w:gridCol w:w="1164"/>
        <w:gridCol w:w="993"/>
        <w:gridCol w:w="1372"/>
        <w:gridCol w:w="754"/>
        <w:gridCol w:w="992"/>
        <w:gridCol w:w="1388"/>
      </w:tblGrid>
      <w:tr w:rsidR="00E27355" w:rsidRPr="00D13937" w14:paraId="5C6230EC" w14:textId="77777777" w:rsidTr="00B915B9">
        <w:trPr>
          <w:jc w:val="center"/>
        </w:trPr>
        <w:tc>
          <w:tcPr>
            <w:tcW w:w="1999" w:type="dxa"/>
            <w:tcBorders>
              <w:top w:val="single" w:sz="4" w:space="0" w:color="auto"/>
              <w:left w:val="single" w:sz="4" w:space="0" w:color="auto"/>
              <w:bottom w:val="single" w:sz="4" w:space="0" w:color="auto"/>
              <w:right w:val="single" w:sz="4" w:space="0" w:color="auto"/>
            </w:tcBorders>
          </w:tcPr>
          <w:p w14:paraId="6C38A825" w14:textId="77777777" w:rsidR="00E27355" w:rsidRPr="00D13937" w:rsidRDefault="00E27355" w:rsidP="00B915B9">
            <w:pPr>
              <w:spacing w:line="220" w:lineRule="atLeast"/>
              <w:jc w:val="both"/>
              <w:rPr>
                <w:rFonts w:ascii="Arial" w:eastAsia="Times" w:hAnsi="Arial" w:cs="Times New Roman"/>
                <w:sz w:val="18"/>
                <w:szCs w:val="18"/>
              </w:rPr>
            </w:pPr>
          </w:p>
        </w:tc>
        <w:tc>
          <w:tcPr>
            <w:tcW w:w="3529" w:type="dxa"/>
            <w:gridSpan w:val="3"/>
            <w:tcBorders>
              <w:top w:val="single" w:sz="4" w:space="0" w:color="auto"/>
              <w:left w:val="single" w:sz="4" w:space="0" w:color="auto"/>
              <w:bottom w:val="single" w:sz="4" w:space="0" w:color="auto"/>
              <w:right w:val="single" w:sz="4" w:space="0" w:color="auto"/>
            </w:tcBorders>
            <w:hideMark/>
          </w:tcPr>
          <w:p w14:paraId="549787E1" w14:textId="77777777" w:rsidR="00E27355" w:rsidRPr="00D13937" w:rsidRDefault="00E27355" w:rsidP="00B915B9">
            <w:pPr>
              <w:spacing w:line="220" w:lineRule="atLeast"/>
              <w:jc w:val="center"/>
              <w:rPr>
                <w:rFonts w:ascii="Arial" w:eastAsia="Times" w:hAnsi="Arial" w:cs="Times New Roman"/>
                <w:b/>
                <w:sz w:val="18"/>
                <w:szCs w:val="18"/>
              </w:rPr>
            </w:pPr>
          </w:p>
          <w:p w14:paraId="5444A711" w14:textId="77777777" w:rsidR="00E27355" w:rsidRPr="00D13937" w:rsidRDefault="00E27355" w:rsidP="00B915B9">
            <w:pPr>
              <w:spacing w:line="220" w:lineRule="atLeast"/>
              <w:jc w:val="center"/>
              <w:rPr>
                <w:rFonts w:ascii="Arial" w:eastAsia="Times" w:hAnsi="Arial" w:cs="Times New Roman"/>
                <w:b/>
                <w:sz w:val="18"/>
                <w:szCs w:val="18"/>
              </w:rPr>
            </w:pPr>
            <w:r>
              <w:rPr>
                <w:rFonts w:ascii="Arial" w:hAnsi="Arial"/>
                <w:b/>
                <w:sz w:val="18"/>
                <w:szCs w:val="18"/>
              </w:rPr>
              <w:t>Before readjustment</w:t>
            </w:r>
          </w:p>
          <w:p w14:paraId="68CA1954" w14:textId="77777777" w:rsidR="00E27355" w:rsidRPr="00D13937" w:rsidRDefault="00E27355" w:rsidP="00B915B9">
            <w:pPr>
              <w:spacing w:line="220" w:lineRule="atLeast"/>
              <w:jc w:val="center"/>
              <w:rPr>
                <w:rFonts w:ascii="Arial" w:eastAsia="Times" w:hAnsi="Arial" w:cs="Times New Roman"/>
                <w:b/>
                <w:sz w:val="18"/>
                <w:szCs w:val="18"/>
              </w:rPr>
            </w:pPr>
          </w:p>
        </w:tc>
        <w:tc>
          <w:tcPr>
            <w:tcW w:w="3134" w:type="dxa"/>
            <w:gridSpan w:val="3"/>
            <w:tcBorders>
              <w:top w:val="single" w:sz="4" w:space="0" w:color="auto"/>
              <w:left w:val="single" w:sz="4" w:space="0" w:color="auto"/>
              <w:bottom w:val="single" w:sz="4" w:space="0" w:color="auto"/>
              <w:right w:val="single" w:sz="4" w:space="0" w:color="auto"/>
            </w:tcBorders>
            <w:hideMark/>
          </w:tcPr>
          <w:p w14:paraId="2C3AA9C5" w14:textId="77777777" w:rsidR="00E27355" w:rsidRPr="00D13937" w:rsidRDefault="00E27355" w:rsidP="00B915B9">
            <w:pPr>
              <w:spacing w:line="220" w:lineRule="atLeast"/>
              <w:jc w:val="center"/>
              <w:rPr>
                <w:rFonts w:ascii="Arial" w:eastAsia="Times" w:hAnsi="Arial" w:cs="Times New Roman"/>
                <w:b/>
                <w:sz w:val="18"/>
                <w:szCs w:val="18"/>
              </w:rPr>
            </w:pPr>
          </w:p>
          <w:p w14:paraId="618FC6E0" w14:textId="77777777" w:rsidR="00E27355" w:rsidRPr="00D13937" w:rsidRDefault="00E27355" w:rsidP="00B915B9">
            <w:pPr>
              <w:spacing w:line="220" w:lineRule="atLeast"/>
              <w:jc w:val="center"/>
              <w:rPr>
                <w:rFonts w:ascii="Arial" w:eastAsia="Times" w:hAnsi="Arial" w:cs="Times New Roman"/>
                <w:b/>
                <w:sz w:val="18"/>
                <w:szCs w:val="18"/>
              </w:rPr>
            </w:pPr>
            <w:r>
              <w:rPr>
                <w:rFonts w:ascii="Arial" w:hAnsi="Arial"/>
                <w:b/>
                <w:sz w:val="18"/>
                <w:szCs w:val="18"/>
              </w:rPr>
              <w:t>During the readjustment on 15/11</w:t>
            </w:r>
          </w:p>
          <w:p w14:paraId="63CD772F" w14:textId="77777777" w:rsidR="00E27355" w:rsidRPr="00D13937" w:rsidRDefault="00E27355" w:rsidP="00B915B9">
            <w:pPr>
              <w:spacing w:line="220" w:lineRule="atLeast"/>
              <w:jc w:val="center"/>
              <w:rPr>
                <w:rFonts w:ascii="Arial" w:eastAsia="Times" w:hAnsi="Arial" w:cs="Times New Roman"/>
                <w:b/>
                <w:sz w:val="18"/>
                <w:szCs w:val="18"/>
              </w:rPr>
            </w:pPr>
          </w:p>
        </w:tc>
      </w:tr>
      <w:tr w:rsidR="00E27355" w:rsidRPr="00D13937" w14:paraId="65553244" w14:textId="77777777" w:rsidTr="00B915B9">
        <w:trPr>
          <w:jc w:val="center"/>
        </w:trPr>
        <w:tc>
          <w:tcPr>
            <w:tcW w:w="1999" w:type="dxa"/>
            <w:tcBorders>
              <w:top w:val="single" w:sz="4" w:space="0" w:color="auto"/>
              <w:left w:val="single" w:sz="4" w:space="0" w:color="auto"/>
              <w:bottom w:val="single" w:sz="4" w:space="0" w:color="auto"/>
              <w:right w:val="single" w:sz="4" w:space="0" w:color="auto"/>
            </w:tcBorders>
          </w:tcPr>
          <w:p w14:paraId="3DFBA853" w14:textId="77777777" w:rsidR="00E27355" w:rsidRPr="00D13937" w:rsidRDefault="00E27355" w:rsidP="00B915B9">
            <w:pPr>
              <w:spacing w:line="220" w:lineRule="atLeast"/>
              <w:jc w:val="both"/>
              <w:rPr>
                <w:rFonts w:ascii="Arial" w:eastAsia="Times" w:hAnsi="Arial" w:cs="Times New Roman"/>
                <w:sz w:val="18"/>
                <w:szCs w:val="18"/>
              </w:rPr>
            </w:pPr>
          </w:p>
        </w:tc>
        <w:tc>
          <w:tcPr>
            <w:tcW w:w="1164" w:type="dxa"/>
            <w:tcBorders>
              <w:top w:val="single" w:sz="4" w:space="0" w:color="auto"/>
              <w:left w:val="single" w:sz="4" w:space="0" w:color="auto"/>
              <w:bottom w:val="single" w:sz="4" w:space="0" w:color="auto"/>
              <w:right w:val="single" w:sz="4" w:space="0" w:color="auto"/>
            </w:tcBorders>
            <w:vAlign w:val="center"/>
            <w:hideMark/>
          </w:tcPr>
          <w:p w14:paraId="7A7542C7" w14:textId="58DC53A5" w:rsidR="00E27355" w:rsidRPr="00D13937" w:rsidRDefault="00E27355" w:rsidP="00B915B9">
            <w:pPr>
              <w:spacing w:line="220" w:lineRule="atLeast"/>
              <w:jc w:val="center"/>
              <w:rPr>
                <w:rFonts w:ascii="Arial" w:eastAsia="Times" w:hAnsi="Arial" w:cs="Times New Roman"/>
                <w:i/>
                <w:sz w:val="18"/>
                <w:szCs w:val="18"/>
              </w:rPr>
            </w:pPr>
            <w:r>
              <w:rPr>
                <w:rFonts w:ascii="Arial" w:hAnsi="Arial"/>
                <w:i/>
                <w:sz w:val="18"/>
                <w:szCs w:val="18"/>
              </w:rPr>
              <w:t>Value of the unit</w:t>
            </w:r>
            <w:r w:rsidR="00073AED">
              <w:rPr>
                <w:rFonts w:ascii="Arial" w:hAnsi="Arial"/>
                <w:i/>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14:paraId="7F8FC932" w14:textId="77777777" w:rsidR="00E27355" w:rsidRPr="00D13937" w:rsidRDefault="00E27355" w:rsidP="00B915B9">
            <w:pPr>
              <w:spacing w:line="220" w:lineRule="atLeast"/>
              <w:jc w:val="center"/>
              <w:rPr>
                <w:rFonts w:ascii="Arial" w:eastAsia="Times" w:hAnsi="Arial" w:cs="Times New Roman"/>
                <w:i/>
                <w:sz w:val="18"/>
                <w:szCs w:val="18"/>
              </w:rPr>
            </w:pPr>
            <w:r>
              <w:rPr>
                <w:rFonts w:ascii="Arial" w:hAnsi="Arial"/>
                <w:i/>
                <w:sz w:val="18"/>
                <w:szCs w:val="18"/>
              </w:rPr>
              <w:t>Number of units</w:t>
            </w:r>
          </w:p>
        </w:tc>
        <w:tc>
          <w:tcPr>
            <w:tcW w:w="1372" w:type="dxa"/>
            <w:tcBorders>
              <w:top w:val="single" w:sz="4" w:space="0" w:color="auto"/>
              <w:left w:val="single" w:sz="4" w:space="0" w:color="auto"/>
              <w:bottom w:val="single" w:sz="4" w:space="0" w:color="auto"/>
              <w:right w:val="single" w:sz="4" w:space="0" w:color="auto"/>
            </w:tcBorders>
            <w:vAlign w:val="center"/>
            <w:hideMark/>
          </w:tcPr>
          <w:p w14:paraId="4A267B93" w14:textId="1781C593" w:rsidR="00E27355" w:rsidRPr="00D13937" w:rsidRDefault="00E27355" w:rsidP="00B915B9">
            <w:pPr>
              <w:spacing w:line="220" w:lineRule="atLeast"/>
              <w:jc w:val="center"/>
              <w:rPr>
                <w:rFonts w:ascii="Arial" w:eastAsia="Times" w:hAnsi="Arial" w:cs="Times New Roman"/>
                <w:i/>
                <w:sz w:val="18"/>
                <w:szCs w:val="18"/>
              </w:rPr>
            </w:pPr>
            <w:r>
              <w:rPr>
                <w:rFonts w:ascii="Arial" w:hAnsi="Arial"/>
                <w:i/>
                <w:sz w:val="18"/>
                <w:szCs w:val="18"/>
              </w:rPr>
              <w:t>Total valuation</w:t>
            </w:r>
            <w:r w:rsidR="00073AED">
              <w:rPr>
                <w:rFonts w:ascii="Arial" w:hAnsi="Arial"/>
                <w:i/>
                <w:sz w:val="18"/>
                <w:szCs w:val="18"/>
              </w:rPr>
              <w:t xml:space="preserve"> (€)</w:t>
            </w:r>
          </w:p>
        </w:tc>
        <w:tc>
          <w:tcPr>
            <w:tcW w:w="754" w:type="dxa"/>
            <w:tcBorders>
              <w:top w:val="single" w:sz="4" w:space="0" w:color="auto"/>
              <w:left w:val="single" w:sz="4" w:space="0" w:color="auto"/>
              <w:bottom w:val="single" w:sz="4" w:space="0" w:color="auto"/>
              <w:right w:val="single" w:sz="4" w:space="0" w:color="auto"/>
            </w:tcBorders>
            <w:vAlign w:val="center"/>
            <w:hideMark/>
          </w:tcPr>
          <w:p w14:paraId="415F8C58" w14:textId="688549B4" w:rsidR="00E27355" w:rsidRPr="00D13937" w:rsidRDefault="00E27355" w:rsidP="00B915B9">
            <w:pPr>
              <w:spacing w:line="220" w:lineRule="atLeast"/>
              <w:jc w:val="center"/>
              <w:rPr>
                <w:rFonts w:ascii="Arial" w:eastAsia="Times" w:hAnsi="Arial" w:cs="Times New Roman"/>
                <w:i/>
                <w:sz w:val="18"/>
                <w:szCs w:val="18"/>
              </w:rPr>
            </w:pPr>
            <w:r>
              <w:rPr>
                <w:rFonts w:ascii="Arial" w:hAnsi="Arial"/>
                <w:i/>
                <w:sz w:val="18"/>
                <w:szCs w:val="18"/>
              </w:rPr>
              <w:t>Value of the unit</w:t>
            </w:r>
            <w:r w:rsidR="00073AED">
              <w:rPr>
                <w:rFonts w:ascii="Arial" w:hAnsi="Arial"/>
                <w: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97F2ED" w14:textId="77777777" w:rsidR="00E27355" w:rsidRPr="00D13937" w:rsidRDefault="00E27355" w:rsidP="00B915B9">
            <w:pPr>
              <w:spacing w:line="220" w:lineRule="atLeast"/>
              <w:jc w:val="center"/>
              <w:rPr>
                <w:rFonts w:ascii="Arial" w:eastAsia="Times" w:hAnsi="Arial" w:cs="Times New Roman"/>
                <w:i/>
                <w:sz w:val="18"/>
                <w:szCs w:val="18"/>
              </w:rPr>
            </w:pPr>
            <w:r>
              <w:rPr>
                <w:rFonts w:ascii="Arial" w:hAnsi="Arial"/>
                <w:i/>
                <w:sz w:val="18"/>
                <w:szCs w:val="18"/>
              </w:rPr>
              <w:t>Number of units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254F113E" w14:textId="5C696C29" w:rsidR="00E27355" w:rsidRPr="00D13937" w:rsidRDefault="00E27355" w:rsidP="00B915B9">
            <w:pPr>
              <w:spacing w:line="220" w:lineRule="atLeast"/>
              <w:jc w:val="center"/>
              <w:rPr>
                <w:rFonts w:ascii="Arial" w:eastAsia="Times" w:hAnsi="Arial" w:cs="Times New Roman"/>
                <w:i/>
                <w:sz w:val="18"/>
                <w:szCs w:val="18"/>
              </w:rPr>
            </w:pPr>
            <w:r>
              <w:rPr>
                <w:rFonts w:ascii="Arial" w:hAnsi="Arial"/>
                <w:i/>
                <w:sz w:val="18"/>
                <w:szCs w:val="18"/>
              </w:rPr>
              <w:t>Total valuation</w:t>
            </w:r>
            <w:r w:rsidR="00073AED">
              <w:rPr>
                <w:rFonts w:ascii="Arial" w:hAnsi="Arial"/>
                <w:i/>
                <w:sz w:val="18"/>
                <w:szCs w:val="18"/>
              </w:rPr>
              <w:t xml:space="preserve"> (€)</w:t>
            </w:r>
          </w:p>
        </w:tc>
      </w:tr>
      <w:tr w:rsidR="00E27355" w:rsidRPr="00D13937" w14:paraId="27F5CA3A" w14:textId="77777777" w:rsidTr="00B915B9">
        <w:trPr>
          <w:jc w:val="center"/>
        </w:trPr>
        <w:tc>
          <w:tcPr>
            <w:tcW w:w="1999" w:type="dxa"/>
            <w:tcBorders>
              <w:top w:val="single" w:sz="4" w:space="0" w:color="auto"/>
              <w:left w:val="single" w:sz="4" w:space="0" w:color="auto"/>
              <w:bottom w:val="single" w:sz="4" w:space="0" w:color="auto"/>
              <w:right w:val="single" w:sz="4" w:space="0" w:color="auto"/>
            </w:tcBorders>
            <w:vAlign w:val="center"/>
            <w:hideMark/>
          </w:tcPr>
          <w:p w14:paraId="10764421" w14:textId="77777777" w:rsidR="00E27355" w:rsidRPr="00D13937" w:rsidRDefault="00E27355" w:rsidP="00B915B9">
            <w:pPr>
              <w:spacing w:line="220" w:lineRule="atLeast"/>
              <w:jc w:val="center"/>
              <w:rPr>
                <w:rFonts w:ascii="Arial" w:eastAsia="Times" w:hAnsi="Arial" w:cs="Times New Roman"/>
                <w:sz w:val="18"/>
                <w:szCs w:val="18"/>
              </w:rPr>
            </w:pPr>
          </w:p>
          <w:p w14:paraId="24206F45" w14:textId="77777777" w:rsidR="00E27355" w:rsidRPr="00D13937" w:rsidRDefault="00E27355" w:rsidP="00B915B9">
            <w:pPr>
              <w:spacing w:line="220" w:lineRule="atLeast"/>
              <w:jc w:val="center"/>
              <w:rPr>
                <w:rFonts w:ascii="Arial" w:eastAsia="Times" w:hAnsi="Arial" w:cs="Times New Roman"/>
                <w:sz w:val="18"/>
                <w:szCs w:val="18"/>
              </w:rPr>
            </w:pPr>
            <w:r>
              <w:rPr>
                <w:rFonts w:ascii="Arial" w:hAnsi="Arial"/>
                <w:sz w:val="18"/>
                <w:szCs w:val="18"/>
              </w:rPr>
              <w:t>Fund A</w:t>
            </w:r>
          </w:p>
        </w:tc>
        <w:tc>
          <w:tcPr>
            <w:tcW w:w="1164" w:type="dxa"/>
            <w:tcBorders>
              <w:top w:val="single" w:sz="4" w:space="0" w:color="auto"/>
              <w:left w:val="single" w:sz="4" w:space="0" w:color="auto"/>
              <w:bottom w:val="single" w:sz="4" w:space="0" w:color="auto"/>
              <w:right w:val="single" w:sz="4" w:space="0" w:color="auto"/>
            </w:tcBorders>
            <w:vAlign w:val="center"/>
            <w:hideMark/>
          </w:tcPr>
          <w:p w14:paraId="0B597646" w14:textId="77777777" w:rsidR="00E27355" w:rsidRPr="00D13937" w:rsidRDefault="00E27355" w:rsidP="00B915B9">
            <w:pPr>
              <w:spacing w:line="220" w:lineRule="atLeast"/>
              <w:jc w:val="center"/>
              <w:rPr>
                <w:rFonts w:ascii="Arial" w:eastAsia="Times" w:hAnsi="Arial" w:cs="Times New Roman"/>
                <w:sz w:val="18"/>
                <w:szCs w:val="18"/>
              </w:rPr>
            </w:pPr>
            <w:r>
              <w:rPr>
                <w:rFonts w:ascii="Arial" w:hAnsi="Arial"/>
                <w:sz w:val="18"/>
                <w:szCs w:val="18"/>
              </w:rPr>
              <w:t>14.62181</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1B047F" w14:textId="77777777" w:rsidR="00E27355" w:rsidRPr="00D13937" w:rsidRDefault="00E27355" w:rsidP="00B915B9">
            <w:pPr>
              <w:spacing w:line="220" w:lineRule="atLeast"/>
              <w:jc w:val="center"/>
              <w:rPr>
                <w:rFonts w:ascii="Arial" w:eastAsia="Times" w:hAnsi="Arial" w:cs="Times New Roman"/>
                <w:sz w:val="18"/>
                <w:szCs w:val="18"/>
              </w:rPr>
            </w:pPr>
            <w:r>
              <w:rPr>
                <w:rFonts w:ascii="Arial" w:hAnsi="Arial"/>
                <w:sz w:val="18"/>
                <w:szCs w:val="18"/>
              </w:rPr>
              <w:t>1000</w:t>
            </w:r>
          </w:p>
        </w:tc>
        <w:tc>
          <w:tcPr>
            <w:tcW w:w="1372" w:type="dxa"/>
            <w:tcBorders>
              <w:top w:val="single" w:sz="4" w:space="0" w:color="auto"/>
              <w:left w:val="single" w:sz="4" w:space="0" w:color="auto"/>
              <w:bottom w:val="single" w:sz="4" w:space="0" w:color="auto"/>
              <w:right w:val="single" w:sz="4" w:space="0" w:color="auto"/>
            </w:tcBorders>
            <w:vAlign w:val="center"/>
            <w:hideMark/>
          </w:tcPr>
          <w:p w14:paraId="61881DED" w14:textId="77777777" w:rsidR="00E27355" w:rsidRPr="00D13937" w:rsidRDefault="00E27355" w:rsidP="00B915B9">
            <w:pPr>
              <w:spacing w:line="220" w:lineRule="atLeast"/>
              <w:jc w:val="center"/>
              <w:rPr>
                <w:rFonts w:ascii="Arial" w:eastAsia="Times" w:hAnsi="Arial" w:cs="Times New Roman"/>
                <w:b/>
                <w:sz w:val="18"/>
                <w:szCs w:val="18"/>
              </w:rPr>
            </w:pPr>
            <w:r>
              <w:rPr>
                <w:rFonts w:ascii="Arial" w:hAnsi="Arial"/>
                <w:b/>
                <w:sz w:val="18"/>
                <w:szCs w:val="18"/>
              </w:rPr>
              <w:t>14,621</w:t>
            </w:r>
          </w:p>
        </w:tc>
        <w:tc>
          <w:tcPr>
            <w:tcW w:w="754" w:type="dxa"/>
            <w:tcBorders>
              <w:top w:val="single" w:sz="4" w:space="0" w:color="auto"/>
              <w:left w:val="single" w:sz="4" w:space="0" w:color="auto"/>
              <w:bottom w:val="single" w:sz="4" w:space="0" w:color="auto"/>
              <w:right w:val="single" w:sz="4" w:space="0" w:color="auto"/>
            </w:tcBorders>
            <w:vAlign w:val="center"/>
            <w:hideMark/>
          </w:tcPr>
          <w:p w14:paraId="3DF10A3B" w14:textId="77777777" w:rsidR="00E27355" w:rsidRPr="00D13937" w:rsidRDefault="00E27355" w:rsidP="00B915B9">
            <w:pPr>
              <w:spacing w:line="220" w:lineRule="atLeast"/>
              <w:jc w:val="center"/>
              <w:rPr>
                <w:rFonts w:ascii="Arial" w:eastAsia="Times" w:hAnsi="Arial" w:cs="Times New Roman"/>
                <w:sz w:val="18"/>
                <w:szCs w:val="18"/>
              </w:rPr>
            </w:pPr>
            <w:r>
              <w:rPr>
                <w:rFonts w:ascii="Arial" w:hAnsi="Arial"/>
                <w:sz w:val="18"/>
                <w:szCs w:val="18"/>
              </w:rPr>
              <w:t>14.72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2250F3" w14:textId="77777777" w:rsidR="00E27355" w:rsidRPr="00D13937" w:rsidRDefault="00E27355" w:rsidP="00B915B9">
            <w:pPr>
              <w:spacing w:line="220" w:lineRule="atLeast"/>
              <w:jc w:val="center"/>
              <w:rPr>
                <w:rFonts w:ascii="Arial" w:eastAsia="Times" w:hAnsi="Arial" w:cs="Times New Roman"/>
                <w:sz w:val="18"/>
                <w:szCs w:val="18"/>
              </w:rPr>
            </w:pPr>
            <w:r>
              <w:rPr>
                <w:rFonts w:ascii="Arial" w:hAnsi="Arial"/>
                <w:sz w:val="18"/>
                <w:szCs w:val="18"/>
              </w:rPr>
              <w:t>993.329</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6885A1D" w14:textId="77777777" w:rsidR="00E27355" w:rsidRPr="00D13937" w:rsidRDefault="00E27355" w:rsidP="00B915B9">
            <w:pPr>
              <w:spacing w:line="220" w:lineRule="atLeast"/>
              <w:jc w:val="center"/>
              <w:rPr>
                <w:rFonts w:ascii="Arial" w:eastAsia="Times" w:hAnsi="Arial" w:cs="Times New Roman"/>
                <w:b/>
                <w:sz w:val="18"/>
                <w:szCs w:val="18"/>
              </w:rPr>
            </w:pPr>
            <w:r>
              <w:rPr>
                <w:rFonts w:ascii="Arial" w:hAnsi="Arial"/>
                <w:b/>
                <w:sz w:val="18"/>
                <w:szCs w:val="18"/>
              </w:rPr>
              <w:t>14,621</w:t>
            </w:r>
          </w:p>
        </w:tc>
      </w:tr>
    </w:tbl>
    <w:p w14:paraId="1B5BD5AF" w14:textId="77777777" w:rsidR="007D6A64" w:rsidRDefault="007D6A64" w:rsidP="00D13937">
      <w:pPr>
        <w:spacing w:after="0" w:line="240" w:lineRule="atLeast"/>
        <w:jc w:val="both"/>
        <w:rPr>
          <w:rFonts w:ascii="Arial" w:eastAsia="Times" w:hAnsi="Arial" w:cs="Arial"/>
          <w:sz w:val="20"/>
          <w:szCs w:val="20"/>
          <w:lang w:eastAsia="fr-FR"/>
        </w:rPr>
      </w:pPr>
    </w:p>
    <w:p w14:paraId="2D216069" w14:textId="77777777" w:rsidR="007D6A64" w:rsidRDefault="007D6A64" w:rsidP="00D13937">
      <w:pPr>
        <w:spacing w:after="0" w:line="240" w:lineRule="atLeast"/>
        <w:jc w:val="both"/>
        <w:rPr>
          <w:rFonts w:ascii="Arial" w:eastAsia="Times" w:hAnsi="Arial" w:cs="Arial"/>
          <w:sz w:val="20"/>
          <w:szCs w:val="20"/>
          <w:lang w:eastAsia="fr-FR"/>
        </w:rPr>
      </w:pPr>
    </w:p>
    <w:p w14:paraId="747C5AB5" w14:textId="69C82072" w:rsidR="00D13937" w:rsidRPr="00D13937" w:rsidRDefault="00D13937" w:rsidP="00D13937">
      <w:pPr>
        <w:spacing w:after="0" w:line="240" w:lineRule="atLeast"/>
        <w:jc w:val="both"/>
        <w:rPr>
          <w:rFonts w:ascii="Arial" w:eastAsia="Times" w:hAnsi="Arial" w:cs="Arial"/>
          <w:sz w:val="20"/>
          <w:szCs w:val="20"/>
        </w:rPr>
      </w:pPr>
      <w:r>
        <w:rPr>
          <w:rFonts w:ascii="Arial" w:hAnsi="Arial"/>
          <w:sz w:val="20"/>
          <w:szCs w:val="20"/>
        </w:rPr>
        <w:t>Supporting my reasoning with figures, I also explained to Mr. S. that the valuation displayed by his portfolio the day after the readjustment (€14</w:t>
      </w:r>
      <w:r w:rsidR="00890552">
        <w:rPr>
          <w:rFonts w:ascii="Arial" w:hAnsi="Arial"/>
          <w:sz w:val="20"/>
          <w:szCs w:val="20"/>
        </w:rPr>
        <w:t>,</w:t>
      </w:r>
      <w:r>
        <w:rPr>
          <w:rFonts w:ascii="Arial" w:hAnsi="Arial"/>
          <w:sz w:val="20"/>
          <w:szCs w:val="20"/>
        </w:rPr>
        <w:t>522) - the date he used to consider that the operation was detrimental – was higher than the valuation displayed a few days before the readjustment (€13</w:t>
      </w:r>
      <w:r w:rsidR="00890552">
        <w:rPr>
          <w:rFonts w:ascii="Arial" w:hAnsi="Arial"/>
          <w:sz w:val="20"/>
          <w:szCs w:val="20"/>
        </w:rPr>
        <w:t>,</w:t>
      </w:r>
      <w:r>
        <w:rPr>
          <w:rFonts w:ascii="Arial" w:hAnsi="Arial"/>
          <w:sz w:val="20"/>
          <w:szCs w:val="20"/>
        </w:rPr>
        <w:t>850).</w:t>
      </w:r>
    </w:p>
    <w:p w14:paraId="61B0C54B" w14:textId="77777777" w:rsidR="00D13937" w:rsidRPr="00D13937" w:rsidRDefault="00D13937" w:rsidP="00D13937">
      <w:pPr>
        <w:spacing w:after="0" w:line="240" w:lineRule="atLeast"/>
        <w:jc w:val="both"/>
        <w:rPr>
          <w:rFonts w:ascii="Arial" w:eastAsia="Times" w:hAnsi="Arial" w:cs="Arial"/>
          <w:sz w:val="20"/>
          <w:szCs w:val="20"/>
          <w:lang w:eastAsia="fr-FR"/>
        </w:rPr>
      </w:pPr>
    </w:p>
    <w:p w14:paraId="558DABAE" w14:textId="074B21BC" w:rsidR="00D13937" w:rsidRDefault="00CA5FDB" w:rsidP="00D13937">
      <w:pPr>
        <w:spacing w:after="0" w:line="240" w:lineRule="atLeast"/>
        <w:jc w:val="both"/>
        <w:rPr>
          <w:rFonts w:ascii="Arial" w:eastAsia="Times" w:hAnsi="Arial" w:cs="Arial"/>
          <w:sz w:val="20"/>
          <w:szCs w:val="20"/>
        </w:rPr>
      </w:pPr>
      <w:r>
        <w:rPr>
          <w:rFonts w:ascii="Arial" w:hAnsi="Arial"/>
          <w:sz w:val="20"/>
          <w:szCs w:val="20"/>
        </w:rPr>
        <w:t>Lastly, after analysing the history of the fund’s net asset values since the readjustment, I pointed out that at the highest level, the unit of fund A had been valued at €15.25 on 3 December 2018, and there again, the valuation of his portfolio (€15</w:t>
      </w:r>
      <w:r w:rsidR="00890552">
        <w:rPr>
          <w:rFonts w:ascii="Arial" w:hAnsi="Arial"/>
          <w:sz w:val="20"/>
          <w:szCs w:val="20"/>
        </w:rPr>
        <w:t>,</w:t>
      </w:r>
      <w:r>
        <w:rPr>
          <w:rFonts w:ascii="Arial" w:hAnsi="Arial"/>
          <w:sz w:val="20"/>
          <w:szCs w:val="20"/>
        </w:rPr>
        <w:t>148) was higher than the valuation observed on the day before the readjustment (€14</w:t>
      </w:r>
      <w:r w:rsidR="00890552">
        <w:rPr>
          <w:rFonts w:ascii="Arial" w:hAnsi="Arial"/>
          <w:sz w:val="20"/>
          <w:szCs w:val="20"/>
        </w:rPr>
        <w:t>,</w:t>
      </w:r>
      <w:r>
        <w:rPr>
          <w:rFonts w:ascii="Arial" w:hAnsi="Arial"/>
          <w:sz w:val="20"/>
          <w:szCs w:val="20"/>
        </w:rPr>
        <w:t>702).</w:t>
      </w:r>
    </w:p>
    <w:p w14:paraId="5383C45F" w14:textId="08D7F40E" w:rsidR="00D13937" w:rsidRPr="00D13937" w:rsidRDefault="00AB4334" w:rsidP="00E25F57">
      <w:pPr>
        <w:pStyle w:val="Titre2"/>
      </w:pPr>
      <w:r>
        <w:t>Recommendation</w:t>
      </w:r>
    </w:p>
    <w:p w14:paraId="011144E3" w14:textId="77777777" w:rsidR="00D13937" w:rsidRPr="00D13937" w:rsidRDefault="00D13937" w:rsidP="00D13937">
      <w:pPr>
        <w:spacing w:after="0" w:line="240" w:lineRule="atLeast"/>
        <w:jc w:val="both"/>
        <w:rPr>
          <w:rFonts w:ascii="Arial" w:eastAsia="Times" w:hAnsi="Arial" w:cs="Arial"/>
          <w:sz w:val="20"/>
          <w:szCs w:val="20"/>
          <w:lang w:eastAsia="fr-FR"/>
        </w:rPr>
      </w:pPr>
    </w:p>
    <w:p w14:paraId="0E8C59D0" w14:textId="4A4FDC9B" w:rsidR="00D13937" w:rsidRPr="00D13937" w:rsidRDefault="00D13937" w:rsidP="00D13937">
      <w:pPr>
        <w:spacing w:after="0" w:line="240" w:lineRule="atLeast"/>
        <w:jc w:val="both"/>
        <w:rPr>
          <w:rFonts w:ascii="Arial" w:eastAsia="Times" w:hAnsi="Arial" w:cs="Arial"/>
          <w:sz w:val="20"/>
          <w:szCs w:val="20"/>
        </w:rPr>
      </w:pPr>
      <w:r>
        <w:rPr>
          <w:rFonts w:ascii="Arial" w:hAnsi="Arial"/>
          <w:sz w:val="20"/>
          <w:szCs w:val="20"/>
        </w:rPr>
        <w:t>In conclusion, in view of all these calculations, I informed the investor:</w:t>
      </w:r>
    </w:p>
    <w:p w14:paraId="395E2D85" w14:textId="77777777" w:rsidR="00D13937" w:rsidRPr="00D13937" w:rsidRDefault="00D13937" w:rsidP="00D13937">
      <w:pPr>
        <w:numPr>
          <w:ilvl w:val="0"/>
          <w:numId w:val="2"/>
        </w:numPr>
        <w:spacing w:after="0" w:line="240" w:lineRule="atLeast"/>
        <w:contextualSpacing/>
        <w:jc w:val="both"/>
        <w:rPr>
          <w:rFonts w:ascii="Arial" w:eastAsia="Times" w:hAnsi="Arial" w:cs="Arial"/>
          <w:sz w:val="20"/>
          <w:szCs w:val="20"/>
        </w:rPr>
      </w:pPr>
      <w:r>
        <w:rPr>
          <w:rFonts w:ascii="Arial" w:hAnsi="Arial"/>
          <w:sz w:val="20"/>
          <w:szCs w:val="20"/>
        </w:rPr>
        <w:lastRenderedPageBreak/>
        <w:t>on one hand, that the readjustment operation</w:t>
      </w:r>
      <w:r>
        <w:rPr>
          <w:rFonts w:ascii="Arial" w:hAnsi="Arial"/>
          <w:i/>
          <w:iCs/>
          <w:sz w:val="20"/>
          <w:szCs w:val="20"/>
        </w:rPr>
        <w:t xml:space="preserve"> per se</w:t>
      </w:r>
      <w:r>
        <w:rPr>
          <w:rFonts w:ascii="Arial" w:hAnsi="Arial"/>
          <w:sz w:val="20"/>
          <w:szCs w:val="20"/>
        </w:rPr>
        <w:t xml:space="preserve"> had not been detrimental to him: although he did indeed hold fewer units, the value of each unit had been increased accordingly;</w:t>
      </w:r>
    </w:p>
    <w:p w14:paraId="6D052C0E" w14:textId="77777777" w:rsidR="00D13937" w:rsidRPr="00D13937" w:rsidRDefault="00D13937" w:rsidP="00D13937">
      <w:pPr>
        <w:numPr>
          <w:ilvl w:val="0"/>
          <w:numId w:val="2"/>
        </w:numPr>
        <w:spacing w:after="0" w:line="240" w:lineRule="atLeast"/>
        <w:contextualSpacing/>
        <w:jc w:val="both"/>
        <w:rPr>
          <w:rFonts w:ascii="Arial" w:eastAsia="Times" w:hAnsi="Arial" w:cs="Arial"/>
          <w:sz w:val="20"/>
          <w:szCs w:val="20"/>
        </w:rPr>
      </w:pPr>
      <w:r>
        <w:rPr>
          <w:rFonts w:ascii="Arial" w:hAnsi="Arial"/>
          <w:sz w:val="20"/>
          <w:szCs w:val="20"/>
        </w:rPr>
        <w:t>on the other hand, that the differences observed in the following days resulted solely from fluctuations in the X share price - and therefore in the net asset value of the fund. He would therefore have been affected in the same manner if there had been no readjustment, given the inherent uncertainty of financial markets.</w:t>
      </w:r>
    </w:p>
    <w:p w14:paraId="7A780A6C" w14:textId="77777777" w:rsidR="00D13937" w:rsidRPr="00D13937" w:rsidRDefault="00D13937" w:rsidP="00D13937">
      <w:pPr>
        <w:spacing w:after="0" w:line="240" w:lineRule="atLeast"/>
        <w:jc w:val="both"/>
        <w:rPr>
          <w:rFonts w:ascii="Arial" w:eastAsia="Times" w:hAnsi="Arial" w:cs="Arial"/>
          <w:sz w:val="20"/>
          <w:szCs w:val="20"/>
          <w:lang w:eastAsia="fr-FR"/>
        </w:rPr>
      </w:pPr>
    </w:p>
    <w:p w14:paraId="6A34BC74" w14:textId="507B161C" w:rsidR="00D13937" w:rsidRPr="00D13937" w:rsidRDefault="00AB4334" w:rsidP="00D13937">
      <w:pPr>
        <w:autoSpaceDE w:val="0"/>
        <w:autoSpaceDN w:val="0"/>
        <w:adjustRightInd w:val="0"/>
        <w:spacing w:after="0" w:line="240" w:lineRule="atLeast"/>
        <w:jc w:val="both"/>
        <w:rPr>
          <w:rFonts w:ascii="Arial" w:hAnsi="Arial" w:cs="Arial"/>
          <w:sz w:val="20"/>
          <w:szCs w:val="20"/>
        </w:rPr>
      </w:pPr>
      <w:r>
        <w:rPr>
          <w:rFonts w:ascii="Arial" w:hAnsi="Arial"/>
          <w:sz w:val="20"/>
          <w:szCs w:val="20"/>
        </w:rPr>
        <w:t xml:space="preserve">I therefore informed Mr. S. that I had no </w:t>
      </w:r>
      <w:r w:rsidR="00C21290">
        <w:rPr>
          <w:rFonts w:ascii="Arial" w:hAnsi="Arial"/>
          <w:sz w:val="20"/>
          <w:szCs w:val="20"/>
        </w:rPr>
        <w:t>grounds</w:t>
      </w:r>
      <w:r>
        <w:rPr>
          <w:rFonts w:ascii="Arial" w:hAnsi="Arial"/>
          <w:sz w:val="20"/>
          <w:szCs w:val="20"/>
        </w:rPr>
        <w:t xml:space="preserve"> to take further action with his account holder to restore his employee savings scheme and could therefore not </w:t>
      </w:r>
      <w:r w:rsidR="00C21290">
        <w:rPr>
          <w:rFonts w:ascii="Arial" w:hAnsi="Arial"/>
          <w:sz w:val="20"/>
          <w:szCs w:val="20"/>
        </w:rPr>
        <w:t>accede to</w:t>
      </w:r>
      <w:r>
        <w:rPr>
          <w:rFonts w:ascii="Arial" w:hAnsi="Arial"/>
          <w:sz w:val="20"/>
          <w:szCs w:val="20"/>
        </w:rPr>
        <w:t xml:space="preserve"> his request.</w:t>
      </w:r>
    </w:p>
    <w:p w14:paraId="042EABA6" w14:textId="77777777" w:rsidR="00D13937" w:rsidRPr="00D13937" w:rsidRDefault="00D13937" w:rsidP="00D13937">
      <w:pPr>
        <w:autoSpaceDE w:val="0"/>
        <w:autoSpaceDN w:val="0"/>
        <w:adjustRightInd w:val="0"/>
        <w:spacing w:after="0" w:line="240" w:lineRule="atLeast"/>
        <w:jc w:val="both"/>
        <w:rPr>
          <w:rFonts w:ascii="Arial" w:hAnsi="Arial" w:cs="Arial"/>
          <w:sz w:val="20"/>
          <w:szCs w:val="20"/>
        </w:rPr>
      </w:pPr>
    </w:p>
    <w:p w14:paraId="0D7BBC4D" w14:textId="1F2F7F0E" w:rsidR="00D13937" w:rsidRPr="00D13937" w:rsidRDefault="00D13937" w:rsidP="00E25F57">
      <w:pPr>
        <w:pStyle w:val="Titre2"/>
      </w:pPr>
      <w:r>
        <w:t xml:space="preserve">Lesson to be </w:t>
      </w:r>
      <w:r w:rsidR="009842B2">
        <w:t>L</w:t>
      </w:r>
      <w:r>
        <w:t>earned</w:t>
      </w:r>
    </w:p>
    <w:p w14:paraId="5EF383E7" w14:textId="77777777" w:rsidR="00D13937" w:rsidRPr="00D13937" w:rsidRDefault="00D13937" w:rsidP="00D13937">
      <w:pPr>
        <w:spacing w:after="0" w:line="240" w:lineRule="atLeast"/>
        <w:jc w:val="both"/>
        <w:rPr>
          <w:rFonts w:ascii="Arial" w:eastAsia="Times" w:hAnsi="Arial" w:cs="Arial"/>
          <w:sz w:val="20"/>
          <w:szCs w:val="20"/>
          <w:lang w:eastAsia="fr-FR"/>
        </w:rPr>
      </w:pPr>
    </w:p>
    <w:p w14:paraId="3F181C05" w14:textId="7C29EF7C" w:rsidR="00D13937" w:rsidRPr="00D13937" w:rsidRDefault="00D13937" w:rsidP="00D13937">
      <w:pPr>
        <w:spacing w:after="0" w:line="240" w:lineRule="atLeast"/>
        <w:jc w:val="both"/>
        <w:rPr>
          <w:rFonts w:ascii="Arial" w:eastAsia="Times" w:hAnsi="Arial" w:cs="Arial"/>
          <w:sz w:val="20"/>
          <w:szCs w:val="20"/>
        </w:rPr>
      </w:pPr>
      <w:r>
        <w:rPr>
          <w:rFonts w:ascii="Arial" w:hAnsi="Arial"/>
          <w:sz w:val="20"/>
          <w:szCs w:val="20"/>
        </w:rPr>
        <w:t xml:space="preserve">It </w:t>
      </w:r>
      <w:r w:rsidR="00C21290">
        <w:rPr>
          <w:rFonts w:ascii="Arial" w:hAnsi="Arial"/>
          <w:sz w:val="20"/>
          <w:szCs w:val="20"/>
        </w:rPr>
        <w:t>should be remembered</w:t>
      </w:r>
      <w:r>
        <w:rPr>
          <w:rFonts w:ascii="Arial" w:hAnsi="Arial"/>
          <w:sz w:val="20"/>
          <w:szCs w:val="20"/>
        </w:rPr>
        <w:t xml:space="preserve"> that the fund regulations provided to investors constitute the reference document </w:t>
      </w:r>
      <w:r w:rsidR="00C21290">
        <w:rPr>
          <w:rFonts w:ascii="Arial" w:hAnsi="Arial"/>
          <w:sz w:val="20"/>
          <w:szCs w:val="20"/>
        </w:rPr>
        <w:t>providing</w:t>
      </w:r>
      <w:r>
        <w:rPr>
          <w:rFonts w:ascii="Arial" w:hAnsi="Arial"/>
          <w:sz w:val="20"/>
          <w:szCs w:val="20"/>
        </w:rPr>
        <w:t xml:space="preserve"> information about the characteristics of the fund</w:t>
      </w:r>
      <w:r w:rsidR="009842B2">
        <w:rPr>
          <w:rFonts w:ascii="Arial" w:hAnsi="Arial"/>
          <w:sz w:val="20"/>
          <w:szCs w:val="20"/>
        </w:rPr>
        <w:t>,</w:t>
      </w:r>
      <w:r>
        <w:rPr>
          <w:rFonts w:ascii="Arial" w:hAnsi="Arial"/>
          <w:sz w:val="20"/>
          <w:szCs w:val="20"/>
        </w:rPr>
        <w:t xml:space="preserve"> as well as </w:t>
      </w:r>
      <w:r w:rsidR="00C21290">
        <w:rPr>
          <w:rFonts w:ascii="Arial" w:hAnsi="Arial"/>
          <w:sz w:val="20"/>
          <w:szCs w:val="20"/>
        </w:rPr>
        <w:t>about any</w:t>
      </w:r>
      <w:r>
        <w:rPr>
          <w:rFonts w:ascii="Arial" w:hAnsi="Arial"/>
          <w:sz w:val="20"/>
          <w:szCs w:val="20"/>
        </w:rPr>
        <w:t xml:space="preserve"> events liable to affect the life of the fund. Investors must therefore acquire the reflex of consulting them whenever they have a question after their subscription.</w:t>
      </w:r>
    </w:p>
    <w:p w14:paraId="1AF7C343" w14:textId="77777777" w:rsidR="00D13937" w:rsidRPr="00D13937" w:rsidRDefault="00D13937" w:rsidP="00D13937">
      <w:pPr>
        <w:spacing w:after="0" w:line="240" w:lineRule="atLeast"/>
        <w:jc w:val="both"/>
        <w:rPr>
          <w:rFonts w:ascii="Arial" w:eastAsia="Times" w:hAnsi="Arial" w:cs="Arial"/>
          <w:sz w:val="20"/>
          <w:szCs w:val="20"/>
          <w:lang w:eastAsia="fr-FR"/>
        </w:rPr>
      </w:pPr>
    </w:p>
    <w:p w14:paraId="2E0A93D8" w14:textId="3D4C49F8" w:rsidR="00D13937" w:rsidRDefault="00D13937" w:rsidP="00D13937">
      <w:pPr>
        <w:spacing w:after="0" w:line="240" w:lineRule="atLeast"/>
        <w:jc w:val="both"/>
        <w:rPr>
          <w:rFonts w:ascii="Arial" w:eastAsia="Times" w:hAnsi="Arial" w:cs="Arial"/>
          <w:sz w:val="20"/>
          <w:szCs w:val="20"/>
        </w:rPr>
      </w:pPr>
      <w:r>
        <w:rPr>
          <w:rFonts w:ascii="Arial" w:hAnsi="Arial"/>
          <w:sz w:val="20"/>
          <w:szCs w:val="20"/>
        </w:rPr>
        <w:t xml:space="preserve">It is nevertheless understandable that this type of operation, which is complex in many respects, is difficult for investors to understand. This complexity is the downside of the desire to be able to display a net asset value that is close to the company’s market price. Investors must be aware that </w:t>
      </w:r>
      <w:r w:rsidR="009842B2">
        <w:rPr>
          <w:rFonts w:ascii="Arial" w:hAnsi="Arial"/>
          <w:sz w:val="20"/>
          <w:szCs w:val="20"/>
        </w:rPr>
        <w:t xml:space="preserve">this </w:t>
      </w:r>
      <w:r>
        <w:rPr>
          <w:rFonts w:ascii="Arial" w:hAnsi="Arial"/>
          <w:sz w:val="20"/>
          <w:szCs w:val="20"/>
        </w:rPr>
        <w:t>readjustment</w:t>
      </w:r>
      <w:r w:rsidR="009842B2">
        <w:rPr>
          <w:rFonts w:ascii="Arial" w:hAnsi="Arial"/>
          <w:sz w:val="20"/>
          <w:szCs w:val="20"/>
        </w:rPr>
        <w:t xml:space="preserve"> is</w:t>
      </w:r>
      <w:r>
        <w:rPr>
          <w:rFonts w:ascii="Arial" w:hAnsi="Arial"/>
          <w:sz w:val="20"/>
          <w:szCs w:val="20"/>
        </w:rPr>
        <w:t xml:space="preserve"> provided for in the regulations</w:t>
      </w:r>
      <w:r w:rsidR="009842B2">
        <w:rPr>
          <w:rFonts w:ascii="Arial" w:hAnsi="Arial"/>
          <w:sz w:val="20"/>
          <w:szCs w:val="20"/>
        </w:rPr>
        <w:t xml:space="preserve"> and</w:t>
      </w:r>
      <w:r>
        <w:rPr>
          <w:rFonts w:ascii="Arial" w:hAnsi="Arial"/>
          <w:sz w:val="20"/>
          <w:szCs w:val="20"/>
        </w:rPr>
        <w:t xml:space="preserve"> is carried out in order to be in line with the investment objective. It aims to ensure that the net asset value of the fund continues to be correlated with the share price. </w:t>
      </w:r>
    </w:p>
    <w:p w14:paraId="5D9390D6" w14:textId="012844BA" w:rsidR="00CB45A3" w:rsidRDefault="00CB45A3" w:rsidP="00D13937">
      <w:pPr>
        <w:spacing w:after="0" w:line="240" w:lineRule="atLeast"/>
        <w:jc w:val="both"/>
        <w:rPr>
          <w:rFonts w:ascii="Arial" w:eastAsia="Times" w:hAnsi="Arial" w:cs="Arial"/>
          <w:sz w:val="20"/>
          <w:szCs w:val="20"/>
          <w:lang w:eastAsia="fr-FR"/>
        </w:rPr>
      </w:pPr>
    </w:p>
    <w:p w14:paraId="00E14507" w14:textId="77777777" w:rsidR="00CB45A3" w:rsidRPr="00D13937" w:rsidRDefault="00CB45A3" w:rsidP="00D13937">
      <w:pPr>
        <w:spacing w:after="0" w:line="240" w:lineRule="atLeast"/>
        <w:jc w:val="both"/>
        <w:rPr>
          <w:rFonts w:ascii="Arial" w:eastAsia="Times" w:hAnsi="Arial" w:cs="Arial"/>
          <w:sz w:val="20"/>
          <w:szCs w:val="20"/>
          <w:lang w:eastAsia="fr-FR"/>
        </w:rPr>
      </w:pPr>
    </w:p>
    <w:p w14:paraId="66D68947" w14:textId="77777777" w:rsidR="00D13937" w:rsidRPr="00D13937" w:rsidRDefault="00D13937" w:rsidP="00D13937">
      <w:pPr>
        <w:spacing w:after="0" w:line="240" w:lineRule="atLeast"/>
        <w:jc w:val="both"/>
        <w:rPr>
          <w:rFonts w:ascii="Arial" w:eastAsia="Times" w:hAnsi="Arial" w:cs="Arial"/>
          <w:sz w:val="20"/>
          <w:szCs w:val="20"/>
          <w:lang w:eastAsia="fr-FR"/>
        </w:rPr>
      </w:pPr>
    </w:p>
    <w:p w14:paraId="4A08590C" w14:textId="77777777" w:rsidR="00D13937" w:rsidRPr="00D13937" w:rsidRDefault="00D13937" w:rsidP="00D13937">
      <w:pPr>
        <w:spacing w:after="0" w:line="240" w:lineRule="atLeast"/>
        <w:jc w:val="both"/>
        <w:rPr>
          <w:rFonts w:ascii="Arial" w:eastAsia="Times" w:hAnsi="Arial" w:cs="Arial"/>
          <w:sz w:val="20"/>
          <w:szCs w:val="20"/>
          <w:lang w:eastAsia="fr-FR"/>
        </w:rPr>
      </w:pPr>
    </w:p>
    <w:p w14:paraId="3D4CF488" w14:textId="77777777" w:rsidR="00D13937" w:rsidRPr="00D13937" w:rsidRDefault="00D13937" w:rsidP="00D13937">
      <w:pPr>
        <w:spacing w:after="0" w:line="240" w:lineRule="atLeast"/>
        <w:jc w:val="both"/>
        <w:rPr>
          <w:rFonts w:ascii="Arial" w:eastAsia="Times" w:hAnsi="Arial" w:cs="Times New Roman"/>
          <w:lang w:eastAsia="fr-FR"/>
        </w:rPr>
      </w:pPr>
    </w:p>
    <w:p w14:paraId="4C4DD0B5" w14:textId="77777777" w:rsidR="00B136A8" w:rsidRDefault="00B136A8"/>
    <w:sectPr w:rsidR="00B136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DFFE9" w14:textId="77777777" w:rsidR="003F5A2E" w:rsidRDefault="003F5A2E" w:rsidP="00345EC9">
      <w:pPr>
        <w:spacing w:after="0" w:line="240" w:lineRule="auto"/>
      </w:pPr>
      <w:r>
        <w:separator/>
      </w:r>
    </w:p>
  </w:endnote>
  <w:endnote w:type="continuationSeparator" w:id="0">
    <w:p w14:paraId="40325A66" w14:textId="77777777" w:rsidR="003F5A2E" w:rsidRDefault="003F5A2E" w:rsidP="0034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0100D" w14:textId="77777777" w:rsidR="003F5A2E" w:rsidRDefault="003F5A2E" w:rsidP="00345EC9">
      <w:pPr>
        <w:spacing w:after="0" w:line="240" w:lineRule="auto"/>
      </w:pPr>
      <w:r>
        <w:separator/>
      </w:r>
    </w:p>
  </w:footnote>
  <w:footnote w:type="continuationSeparator" w:id="0">
    <w:p w14:paraId="1687C447" w14:textId="77777777" w:rsidR="003F5A2E" w:rsidRDefault="003F5A2E" w:rsidP="00345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52739"/>
    <w:multiLevelType w:val="hybridMultilevel"/>
    <w:tmpl w:val="F4B08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1503AB"/>
    <w:multiLevelType w:val="hybridMultilevel"/>
    <w:tmpl w:val="B64C2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37"/>
    <w:rsid w:val="00001BA8"/>
    <w:rsid w:val="00003779"/>
    <w:rsid w:val="00006506"/>
    <w:rsid w:val="000114FF"/>
    <w:rsid w:val="0001235B"/>
    <w:rsid w:val="00031C52"/>
    <w:rsid w:val="00034177"/>
    <w:rsid w:val="000346A6"/>
    <w:rsid w:val="00040F65"/>
    <w:rsid w:val="00043E73"/>
    <w:rsid w:val="000440F5"/>
    <w:rsid w:val="00044DD2"/>
    <w:rsid w:val="000453DC"/>
    <w:rsid w:val="00047B5E"/>
    <w:rsid w:val="00052B90"/>
    <w:rsid w:val="00052C53"/>
    <w:rsid w:val="00052DCD"/>
    <w:rsid w:val="0006293E"/>
    <w:rsid w:val="00067A04"/>
    <w:rsid w:val="00073AED"/>
    <w:rsid w:val="00092059"/>
    <w:rsid w:val="00093CE3"/>
    <w:rsid w:val="000951DC"/>
    <w:rsid w:val="00096E06"/>
    <w:rsid w:val="0009702F"/>
    <w:rsid w:val="000A1E81"/>
    <w:rsid w:val="000B452F"/>
    <w:rsid w:val="000C2548"/>
    <w:rsid w:val="000C3046"/>
    <w:rsid w:val="000C5BD3"/>
    <w:rsid w:val="000C7CCA"/>
    <w:rsid w:val="000D5827"/>
    <w:rsid w:val="000D7261"/>
    <w:rsid w:val="000D72A5"/>
    <w:rsid w:val="000E44ED"/>
    <w:rsid w:val="000E556E"/>
    <w:rsid w:val="000F1329"/>
    <w:rsid w:val="000F35F9"/>
    <w:rsid w:val="00104F56"/>
    <w:rsid w:val="00106141"/>
    <w:rsid w:val="001128D6"/>
    <w:rsid w:val="00113B07"/>
    <w:rsid w:val="00116661"/>
    <w:rsid w:val="00122EAF"/>
    <w:rsid w:val="001244EC"/>
    <w:rsid w:val="0012766F"/>
    <w:rsid w:val="001303C2"/>
    <w:rsid w:val="0013203E"/>
    <w:rsid w:val="0013421F"/>
    <w:rsid w:val="001427EF"/>
    <w:rsid w:val="0014299C"/>
    <w:rsid w:val="0014358C"/>
    <w:rsid w:val="001436AA"/>
    <w:rsid w:val="00145549"/>
    <w:rsid w:val="00145604"/>
    <w:rsid w:val="001479FD"/>
    <w:rsid w:val="00152BDC"/>
    <w:rsid w:val="00155041"/>
    <w:rsid w:val="00157251"/>
    <w:rsid w:val="00161EC8"/>
    <w:rsid w:val="00163E39"/>
    <w:rsid w:val="00164CC6"/>
    <w:rsid w:val="00165352"/>
    <w:rsid w:val="00165802"/>
    <w:rsid w:val="00175493"/>
    <w:rsid w:val="001858D4"/>
    <w:rsid w:val="001961B6"/>
    <w:rsid w:val="001A3CFE"/>
    <w:rsid w:val="001A720A"/>
    <w:rsid w:val="001B1D1F"/>
    <w:rsid w:val="001B2C3A"/>
    <w:rsid w:val="001B2CB5"/>
    <w:rsid w:val="001B6973"/>
    <w:rsid w:val="001B785B"/>
    <w:rsid w:val="001D0137"/>
    <w:rsid w:val="001E2666"/>
    <w:rsid w:val="001E41EC"/>
    <w:rsid w:val="001E5A6A"/>
    <w:rsid w:val="001F208A"/>
    <w:rsid w:val="001F65D7"/>
    <w:rsid w:val="002025AE"/>
    <w:rsid w:val="00203D55"/>
    <w:rsid w:val="002059C4"/>
    <w:rsid w:val="00207CB1"/>
    <w:rsid w:val="002111BC"/>
    <w:rsid w:val="0021260E"/>
    <w:rsid w:val="00216BF6"/>
    <w:rsid w:val="002314D8"/>
    <w:rsid w:val="0023405F"/>
    <w:rsid w:val="0024489A"/>
    <w:rsid w:val="00252071"/>
    <w:rsid w:val="00254BCA"/>
    <w:rsid w:val="00256446"/>
    <w:rsid w:val="00256DF6"/>
    <w:rsid w:val="00262AD9"/>
    <w:rsid w:val="00262D45"/>
    <w:rsid w:val="00265B70"/>
    <w:rsid w:val="002728A9"/>
    <w:rsid w:val="0027588E"/>
    <w:rsid w:val="00286E1D"/>
    <w:rsid w:val="00286FDC"/>
    <w:rsid w:val="00287C47"/>
    <w:rsid w:val="0029308D"/>
    <w:rsid w:val="00294F79"/>
    <w:rsid w:val="00295880"/>
    <w:rsid w:val="00295D91"/>
    <w:rsid w:val="002A2D7A"/>
    <w:rsid w:val="002A6B89"/>
    <w:rsid w:val="002A7804"/>
    <w:rsid w:val="002B27A7"/>
    <w:rsid w:val="002B36B7"/>
    <w:rsid w:val="002B3E10"/>
    <w:rsid w:val="002B5165"/>
    <w:rsid w:val="002B6C11"/>
    <w:rsid w:val="002C1E39"/>
    <w:rsid w:val="002C6859"/>
    <w:rsid w:val="002C725C"/>
    <w:rsid w:val="002D011D"/>
    <w:rsid w:val="002D2633"/>
    <w:rsid w:val="002E51A4"/>
    <w:rsid w:val="002E74B2"/>
    <w:rsid w:val="002F3031"/>
    <w:rsid w:val="002F7079"/>
    <w:rsid w:val="002F7E08"/>
    <w:rsid w:val="003001E5"/>
    <w:rsid w:val="003001F5"/>
    <w:rsid w:val="0033145A"/>
    <w:rsid w:val="00344B47"/>
    <w:rsid w:val="00345EC9"/>
    <w:rsid w:val="00351BB7"/>
    <w:rsid w:val="00355504"/>
    <w:rsid w:val="0036017B"/>
    <w:rsid w:val="003607CD"/>
    <w:rsid w:val="00371949"/>
    <w:rsid w:val="00373A9B"/>
    <w:rsid w:val="0038215D"/>
    <w:rsid w:val="00392AA0"/>
    <w:rsid w:val="00393EF2"/>
    <w:rsid w:val="00395314"/>
    <w:rsid w:val="00396598"/>
    <w:rsid w:val="003A138A"/>
    <w:rsid w:val="003A26A5"/>
    <w:rsid w:val="003A565D"/>
    <w:rsid w:val="003B2597"/>
    <w:rsid w:val="003D0B44"/>
    <w:rsid w:val="003D1329"/>
    <w:rsid w:val="003D5D1A"/>
    <w:rsid w:val="003D627A"/>
    <w:rsid w:val="003E3B16"/>
    <w:rsid w:val="003E6B89"/>
    <w:rsid w:val="003F0056"/>
    <w:rsid w:val="003F11D3"/>
    <w:rsid w:val="003F356B"/>
    <w:rsid w:val="003F5A2E"/>
    <w:rsid w:val="003F63CE"/>
    <w:rsid w:val="00400A83"/>
    <w:rsid w:val="00402B82"/>
    <w:rsid w:val="00407930"/>
    <w:rsid w:val="00422161"/>
    <w:rsid w:val="004241E8"/>
    <w:rsid w:val="00427EA6"/>
    <w:rsid w:val="00431500"/>
    <w:rsid w:val="004332CD"/>
    <w:rsid w:val="00433833"/>
    <w:rsid w:val="00441133"/>
    <w:rsid w:val="00441FCD"/>
    <w:rsid w:val="00442230"/>
    <w:rsid w:val="00443846"/>
    <w:rsid w:val="00451637"/>
    <w:rsid w:val="004717CC"/>
    <w:rsid w:val="00472488"/>
    <w:rsid w:val="004740FB"/>
    <w:rsid w:val="00477566"/>
    <w:rsid w:val="004809B5"/>
    <w:rsid w:val="00485579"/>
    <w:rsid w:val="00490F75"/>
    <w:rsid w:val="00495D5E"/>
    <w:rsid w:val="00495D7C"/>
    <w:rsid w:val="0049715C"/>
    <w:rsid w:val="004A0EA6"/>
    <w:rsid w:val="004A5715"/>
    <w:rsid w:val="004A69F2"/>
    <w:rsid w:val="004B45C7"/>
    <w:rsid w:val="004B596E"/>
    <w:rsid w:val="004B7B4B"/>
    <w:rsid w:val="004C207D"/>
    <w:rsid w:val="004C2224"/>
    <w:rsid w:val="004C2E73"/>
    <w:rsid w:val="004C7DE8"/>
    <w:rsid w:val="004D5A21"/>
    <w:rsid w:val="004E3712"/>
    <w:rsid w:val="004E444F"/>
    <w:rsid w:val="004E4EC7"/>
    <w:rsid w:val="004F2D1A"/>
    <w:rsid w:val="005107AB"/>
    <w:rsid w:val="00512552"/>
    <w:rsid w:val="005133AF"/>
    <w:rsid w:val="00517680"/>
    <w:rsid w:val="00536F78"/>
    <w:rsid w:val="00543606"/>
    <w:rsid w:val="0054659E"/>
    <w:rsid w:val="00550467"/>
    <w:rsid w:val="00552946"/>
    <w:rsid w:val="0055388F"/>
    <w:rsid w:val="00556037"/>
    <w:rsid w:val="005637E4"/>
    <w:rsid w:val="005642A7"/>
    <w:rsid w:val="00564A0D"/>
    <w:rsid w:val="00566138"/>
    <w:rsid w:val="00570F75"/>
    <w:rsid w:val="005714B6"/>
    <w:rsid w:val="005803BA"/>
    <w:rsid w:val="005846D8"/>
    <w:rsid w:val="0058660F"/>
    <w:rsid w:val="00587E25"/>
    <w:rsid w:val="00595141"/>
    <w:rsid w:val="005A269F"/>
    <w:rsid w:val="005B30CA"/>
    <w:rsid w:val="005B55E5"/>
    <w:rsid w:val="005C1213"/>
    <w:rsid w:val="005D5101"/>
    <w:rsid w:val="005D6DB1"/>
    <w:rsid w:val="005F2931"/>
    <w:rsid w:val="005F6E95"/>
    <w:rsid w:val="005F747A"/>
    <w:rsid w:val="00600BDC"/>
    <w:rsid w:val="0060433C"/>
    <w:rsid w:val="00605282"/>
    <w:rsid w:val="006053A8"/>
    <w:rsid w:val="00607BE8"/>
    <w:rsid w:val="0061129B"/>
    <w:rsid w:val="006137D2"/>
    <w:rsid w:val="00617BF9"/>
    <w:rsid w:val="00620852"/>
    <w:rsid w:val="006230F5"/>
    <w:rsid w:val="006244FC"/>
    <w:rsid w:val="006254CC"/>
    <w:rsid w:val="00626A9B"/>
    <w:rsid w:val="0063789E"/>
    <w:rsid w:val="00640638"/>
    <w:rsid w:val="0064512A"/>
    <w:rsid w:val="006531EB"/>
    <w:rsid w:val="00670CE7"/>
    <w:rsid w:val="006754A8"/>
    <w:rsid w:val="00680F2E"/>
    <w:rsid w:val="00685B75"/>
    <w:rsid w:val="00693AC4"/>
    <w:rsid w:val="00694567"/>
    <w:rsid w:val="006A73F2"/>
    <w:rsid w:val="006B0786"/>
    <w:rsid w:val="006B163F"/>
    <w:rsid w:val="006B50BF"/>
    <w:rsid w:val="006C3600"/>
    <w:rsid w:val="006C4F61"/>
    <w:rsid w:val="006C5E69"/>
    <w:rsid w:val="006C7381"/>
    <w:rsid w:val="006D7F35"/>
    <w:rsid w:val="006E0B70"/>
    <w:rsid w:val="006E0E99"/>
    <w:rsid w:val="006E65CE"/>
    <w:rsid w:val="006E6A4A"/>
    <w:rsid w:val="006F33F9"/>
    <w:rsid w:val="006F409C"/>
    <w:rsid w:val="006F62EE"/>
    <w:rsid w:val="006F6381"/>
    <w:rsid w:val="00701E3D"/>
    <w:rsid w:val="00701E7D"/>
    <w:rsid w:val="007037E5"/>
    <w:rsid w:val="00704944"/>
    <w:rsid w:val="00705C8E"/>
    <w:rsid w:val="00711876"/>
    <w:rsid w:val="00712DD0"/>
    <w:rsid w:val="00713537"/>
    <w:rsid w:val="007135F9"/>
    <w:rsid w:val="00715751"/>
    <w:rsid w:val="00716B7C"/>
    <w:rsid w:val="00724CBA"/>
    <w:rsid w:val="00727B7A"/>
    <w:rsid w:val="0073453E"/>
    <w:rsid w:val="007349F6"/>
    <w:rsid w:val="00740D6B"/>
    <w:rsid w:val="0074272F"/>
    <w:rsid w:val="00745DC0"/>
    <w:rsid w:val="00750316"/>
    <w:rsid w:val="0075093A"/>
    <w:rsid w:val="00755138"/>
    <w:rsid w:val="007614D9"/>
    <w:rsid w:val="0076158C"/>
    <w:rsid w:val="007621A9"/>
    <w:rsid w:val="0076255A"/>
    <w:rsid w:val="007629C0"/>
    <w:rsid w:val="007666DA"/>
    <w:rsid w:val="00770DA4"/>
    <w:rsid w:val="007836BF"/>
    <w:rsid w:val="00792C0D"/>
    <w:rsid w:val="00793E48"/>
    <w:rsid w:val="00794567"/>
    <w:rsid w:val="007A0B58"/>
    <w:rsid w:val="007A1BDA"/>
    <w:rsid w:val="007A3B12"/>
    <w:rsid w:val="007A5A88"/>
    <w:rsid w:val="007A6339"/>
    <w:rsid w:val="007B061F"/>
    <w:rsid w:val="007B082A"/>
    <w:rsid w:val="007B7E34"/>
    <w:rsid w:val="007C024B"/>
    <w:rsid w:val="007C1442"/>
    <w:rsid w:val="007C27B5"/>
    <w:rsid w:val="007C27C3"/>
    <w:rsid w:val="007C3240"/>
    <w:rsid w:val="007C67AE"/>
    <w:rsid w:val="007C7013"/>
    <w:rsid w:val="007C70D0"/>
    <w:rsid w:val="007D325A"/>
    <w:rsid w:val="007D47B8"/>
    <w:rsid w:val="007D6A64"/>
    <w:rsid w:val="007E013C"/>
    <w:rsid w:val="007E17FE"/>
    <w:rsid w:val="007E1F63"/>
    <w:rsid w:val="007E2CC3"/>
    <w:rsid w:val="007E3172"/>
    <w:rsid w:val="007E5E9D"/>
    <w:rsid w:val="007F74E3"/>
    <w:rsid w:val="00802F57"/>
    <w:rsid w:val="00812755"/>
    <w:rsid w:val="00813251"/>
    <w:rsid w:val="00816FFC"/>
    <w:rsid w:val="00826B26"/>
    <w:rsid w:val="0083314B"/>
    <w:rsid w:val="00834874"/>
    <w:rsid w:val="00836E3B"/>
    <w:rsid w:val="0084311A"/>
    <w:rsid w:val="008514B4"/>
    <w:rsid w:val="00851EAB"/>
    <w:rsid w:val="00857624"/>
    <w:rsid w:val="008643DE"/>
    <w:rsid w:val="00864449"/>
    <w:rsid w:val="00864920"/>
    <w:rsid w:val="008654AD"/>
    <w:rsid w:val="0086575D"/>
    <w:rsid w:val="0087064C"/>
    <w:rsid w:val="00870A85"/>
    <w:rsid w:val="0087292B"/>
    <w:rsid w:val="00874E80"/>
    <w:rsid w:val="008753D4"/>
    <w:rsid w:val="00880630"/>
    <w:rsid w:val="008846A8"/>
    <w:rsid w:val="00886651"/>
    <w:rsid w:val="00890552"/>
    <w:rsid w:val="0089553C"/>
    <w:rsid w:val="00896CEC"/>
    <w:rsid w:val="0089732F"/>
    <w:rsid w:val="008A0F31"/>
    <w:rsid w:val="008A35DE"/>
    <w:rsid w:val="008A3BBE"/>
    <w:rsid w:val="008B6A45"/>
    <w:rsid w:val="008B784C"/>
    <w:rsid w:val="008D3E7F"/>
    <w:rsid w:val="008D656A"/>
    <w:rsid w:val="008D7251"/>
    <w:rsid w:val="008E27F4"/>
    <w:rsid w:val="008E6305"/>
    <w:rsid w:val="008E6526"/>
    <w:rsid w:val="008F0088"/>
    <w:rsid w:val="008F1DB3"/>
    <w:rsid w:val="008F20D4"/>
    <w:rsid w:val="008F71AA"/>
    <w:rsid w:val="00901E10"/>
    <w:rsid w:val="00901FA8"/>
    <w:rsid w:val="00904151"/>
    <w:rsid w:val="00904867"/>
    <w:rsid w:val="00907678"/>
    <w:rsid w:val="009146C0"/>
    <w:rsid w:val="00920F7A"/>
    <w:rsid w:val="0092371F"/>
    <w:rsid w:val="00926395"/>
    <w:rsid w:val="00930A4D"/>
    <w:rsid w:val="00931233"/>
    <w:rsid w:val="009338A2"/>
    <w:rsid w:val="009348AF"/>
    <w:rsid w:val="00942274"/>
    <w:rsid w:val="00945003"/>
    <w:rsid w:val="00946B94"/>
    <w:rsid w:val="009505F4"/>
    <w:rsid w:val="009528DE"/>
    <w:rsid w:val="00952A78"/>
    <w:rsid w:val="00953A2D"/>
    <w:rsid w:val="00955621"/>
    <w:rsid w:val="009639A9"/>
    <w:rsid w:val="009652B9"/>
    <w:rsid w:val="0096588F"/>
    <w:rsid w:val="00966A9F"/>
    <w:rsid w:val="0096760A"/>
    <w:rsid w:val="0097102F"/>
    <w:rsid w:val="00975557"/>
    <w:rsid w:val="009815E4"/>
    <w:rsid w:val="00981A34"/>
    <w:rsid w:val="009829E4"/>
    <w:rsid w:val="00982C55"/>
    <w:rsid w:val="009842B2"/>
    <w:rsid w:val="00997B46"/>
    <w:rsid w:val="009A0D84"/>
    <w:rsid w:val="009A4041"/>
    <w:rsid w:val="009B3218"/>
    <w:rsid w:val="009C4724"/>
    <w:rsid w:val="009C759D"/>
    <w:rsid w:val="009D0CF9"/>
    <w:rsid w:val="009D267C"/>
    <w:rsid w:val="009D2DDE"/>
    <w:rsid w:val="009D3D98"/>
    <w:rsid w:val="009D4322"/>
    <w:rsid w:val="009D5955"/>
    <w:rsid w:val="009E019E"/>
    <w:rsid w:val="009E2379"/>
    <w:rsid w:val="009F0A14"/>
    <w:rsid w:val="009F2570"/>
    <w:rsid w:val="00A0184C"/>
    <w:rsid w:val="00A12FCC"/>
    <w:rsid w:val="00A1331F"/>
    <w:rsid w:val="00A17A8E"/>
    <w:rsid w:val="00A220DB"/>
    <w:rsid w:val="00A26E76"/>
    <w:rsid w:val="00A276CA"/>
    <w:rsid w:val="00A478EE"/>
    <w:rsid w:val="00A47BBC"/>
    <w:rsid w:val="00A5123E"/>
    <w:rsid w:val="00A52F48"/>
    <w:rsid w:val="00A539F4"/>
    <w:rsid w:val="00A55F00"/>
    <w:rsid w:val="00A56A07"/>
    <w:rsid w:val="00A56CA9"/>
    <w:rsid w:val="00A57CF7"/>
    <w:rsid w:val="00A60EA5"/>
    <w:rsid w:val="00A625BF"/>
    <w:rsid w:val="00A63836"/>
    <w:rsid w:val="00A73045"/>
    <w:rsid w:val="00A7396E"/>
    <w:rsid w:val="00A7578B"/>
    <w:rsid w:val="00A7797D"/>
    <w:rsid w:val="00A81254"/>
    <w:rsid w:val="00A832F9"/>
    <w:rsid w:val="00A86A88"/>
    <w:rsid w:val="00A87427"/>
    <w:rsid w:val="00A87AF8"/>
    <w:rsid w:val="00A9514E"/>
    <w:rsid w:val="00A95BFD"/>
    <w:rsid w:val="00A97F85"/>
    <w:rsid w:val="00AA2CCD"/>
    <w:rsid w:val="00AA44A9"/>
    <w:rsid w:val="00AB3EF0"/>
    <w:rsid w:val="00AB4334"/>
    <w:rsid w:val="00AC287A"/>
    <w:rsid w:val="00AC32D1"/>
    <w:rsid w:val="00AD1968"/>
    <w:rsid w:val="00AD2D1A"/>
    <w:rsid w:val="00AD44FC"/>
    <w:rsid w:val="00AF11CC"/>
    <w:rsid w:val="00AF161E"/>
    <w:rsid w:val="00AF1CB9"/>
    <w:rsid w:val="00AF1D70"/>
    <w:rsid w:val="00AF50C6"/>
    <w:rsid w:val="00AF7F55"/>
    <w:rsid w:val="00B0665A"/>
    <w:rsid w:val="00B07464"/>
    <w:rsid w:val="00B12CC7"/>
    <w:rsid w:val="00B136A8"/>
    <w:rsid w:val="00B15602"/>
    <w:rsid w:val="00B17863"/>
    <w:rsid w:val="00B3005C"/>
    <w:rsid w:val="00B3327E"/>
    <w:rsid w:val="00B40B54"/>
    <w:rsid w:val="00B50580"/>
    <w:rsid w:val="00B51888"/>
    <w:rsid w:val="00B532A0"/>
    <w:rsid w:val="00B62AC2"/>
    <w:rsid w:val="00B63797"/>
    <w:rsid w:val="00B63963"/>
    <w:rsid w:val="00B65AFE"/>
    <w:rsid w:val="00B77F33"/>
    <w:rsid w:val="00B80C25"/>
    <w:rsid w:val="00BA4BAB"/>
    <w:rsid w:val="00BA7A1D"/>
    <w:rsid w:val="00BB352E"/>
    <w:rsid w:val="00BB7083"/>
    <w:rsid w:val="00BB7C97"/>
    <w:rsid w:val="00BC31C0"/>
    <w:rsid w:val="00BC7797"/>
    <w:rsid w:val="00BD78C4"/>
    <w:rsid w:val="00BE3E00"/>
    <w:rsid w:val="00BE5225"/>
    <w:rsid w:val="00BF3D9C"/>
    <w:rsid w:val="00BF49A9"/>
    <w:rsid w:val="00BF65D1"/>
    <w:rsid w:val="00C02847"/>
    <w:rsid w:val="00C0586B"/>
    <w:rsid w:val="00C21290"/>
    <w:rsid w:val="00C2478C"/>
    <w:rsid w:val="00C27685"/>
    <w:rsid w:val="00C41EEA"/>
    <w:rsid w:val="00C44335"/>
    <w:rsid w:val="00C45D5D"/>
    <w:rsid w:val="00C4604C"/>
    <w:rsid w:val="00C46969"/>
    <w:rsid w:val="00C46AC4"/>
    <w:rsid w:val="00C53CB8"/>
    <w:rsid w:val="00C54E75"/>
    <w:rsid w:val="00C56452"/>
    <w:rsid w:val="00C63D39"/>
    <w:rsid w:val="00C74DCA"/>
    <w:rsid w:val="00C82729"/>
    <w:rsid w:val="00C9128B"/>
    <w:rsid w:val="00C97664"/>
    <w:rsid w:val="00CA41A4"/>
    <w:rsid w:val="00CA4378"/>
    <w:rsid w:val="00CA5FDB"/>
    <w:rsid w:val="00CA7D67"/>
    <w:rsid w:val="00CB2AB7"/>
    <w:rsid w:val="00CB323E"/>
    <w:rsid w:val="00CB3638"/>
    <w:rsid w:val="00CB45A3"/>
    <w:rsid w:val="00CB6C56"/>
    <w:rsid w:val="00CB6EDF"/>
    <w:rsid w:val="00CC0AF0"/>
    <w:rsid w:val="00CC207B"/>
    <w:rsid w:val="00CC26C9"/>
    <w:rsid w:val="00CC332E"/>
    <w:rsid w:val="00CC3878"/>
    <w:rsid w:val="00CC4C77"/>
    <w:rsid w:val="00CC4D51"/>
    <w:rsid w:val="00CD01DA"/>
    <w:rsid w:val="00CD2165"/>
    <w:rsid w:val="00CD693E"/>
    <w:rsid w:val="00CD69F3"/>
    <w:rsid w:val="00CD6BDA"/>
    <w:rsid w:val="00CE54F5"/>
    <w:rsid w:val="00CE6655"/>
    <w:rsid w:val="00CF1641"/>
    <w:rsid w:val="00D03757"/>
    <w:rsid w:val="00D03FE3"/>
    <w:rsid w:val="00D11083"/>
    <w:rsid w:val="00D13937"/>
    <w:rsid w:val="00D271FC"/>
    <w:rsid w:val="00D30D75"/>
    <w:rsid w:val="00D314BC"/>
    <w:rsid w:val="00D339FA"/>
    <w:rsid w:val="00D340BC"/>
    <w:rsid w:val="00D40A71"/>
    <w:rsid w:val="00D440F5"/>
    <w:rsid w:val="00D54F18"/>
    <w:rsid w:val="00D643DB"/>
    <w:rsid w:val="00D651D5"/>
    <w:rsid w:val="00D65AC5"/>
    <w:rsid w:val="00D67D41"/>
    <w:rsid w:val="00D748C2"/>
    <w:rsid w:val="00D76BD5"/>
    <w:rsid w:val="00D77938"/>
    <w:rsid w:val="00D93E4F"/>
    <w:rsid w:val="00DA18E3"/>
    <w:rsid w:val="00DA4B01"/>
    <w:rsid w:val="00DA7880"/>
    <w:rsid w:val="00DB1A94"/>
    <w:rsid w:val="00DB3D3E"/>
    <w:rsid w:val="00DB6552"/>
    <w:rsid w:val="00DC0490"/>
    <w:rsid w:val="00DC1C07"/>
    <w:rsid w:val="00DC1E0B"/>
    <w:rsid w:val="00DC300D"/>
    <w:rsid w:val="00DC7F8F"/>
    <w:rsid w:val="00DD1189"/>
    <w:rsid w:val="00DD3BFA"/>
    <w:rsid w:val="00DD4023"/>
    <w:rsid w:val="00DF01E6"/>
    <w:rsid w:val="00DF2B8F"/>
    <w:rsid w:val="00DF4869"/>
    <w:rsid w:val="00E00D89"/>
    <w:rsid w:val="00E01B0C"/>
    <w:rsid w:val="00E03476"/>
    <w:rsid w:val="00E04F8C"/>
    <w:rsid w:val="00E101FF"/>
    <w:rsid w:val="00E1664E"/>
    <w:rsid w:val="00E20DF3"/>
    <w:rsid w:val="00E25F57"/>
    <w:rsid w:val="00E27355"/>
    <w:rsid w:val="00E31449"/>
    <w:rsid w:val="00E35BC3"/>
    <w:rsid w:val="00E50F6B"/>
    <w:rsid w:val="00E54DAD"/>
    <w:rsid w:val="00E665E2"/>
    <w:rsid w:val="00E76661"/>
    <w:rsid w:val="00E81644"/>
    <w:rsid w:val="00E876DB"/>
    <w:rsid w:val="00E87D2B"/>
    <w:rsid w:val="00E93DCA"/>
    <w:rsid w:val="00EB09EA"/>
    <w:rsid w:val="00EB4AEB"/>
    <w:rsid w:val="00EB6060"/>
    <w:rsid w:val="00EB6B24"/>
    <w:rsid w:val="00ED0D5A"/>
    <w:rsid w:val="00ED1865"/>
    <w:rsid w:val="00ED5580"/>
    <w:rsid w:val="00EE3BAB"/>
    <w:rsid w:val="00EE6BDB"/>
    <w:rsid w:val="00EE7298"/>
    <w:rsid w:val="00EF2050"/>
    <w:rsid w:val="00EF274E"/>
    <w:rsid w:val="00F00E72"/>
    <w:rsid w:val="00F010C6"/>
    <w:rsid w:val="00F02077"/>
    <w:rsid w:val="00F0635C"/>
    <w:rsid w:val="00F16B29"/>
    <w:rsid w:val="00F20C7E"/>
    <w:rsid w:val="00F22B7A"/>
    <w:rsid w:val="00F2772F"/>
    <w:rsid w:val="00F27E7F"/>
    <w:rsid w:val="00F3043A"/>
    <w:rsid w:val="00F311B3"/>
    <w:rsid w:val="00F3150C"/>
    <w:rsid w:val="00F348FC"/>
    <w:rsid w:val="00F34943"/>
    <w:rsid w:val="00F36075"/>
    <w:rsid w:val="00F41B79"/>
    <w:rsid w:val="00F51B1B"/>
    <w:rsid w:val="00F545AA"/>
    <w:rsid w:val="00F64243"/>
    <w:rsid w:val="00F76832"/>
    <w:rsid w:val="00F76BDB"/>
    <w:rsid w:val="00F8099C"/>
    <w:rsid w:val="00F85F94"/>
    <w:rsid w:val="00F867BA"/>
    <w:rsid w:val="00F91E24"/>
    <w:rsid w:val="00F93455"/>
    <w:rsid w:val="00F9752F"/>
    <w:rsid w:val="00FA73D4"/>
    <w:rsid w:val="00FB0875"/>
    <w:rsid w:val="00FB33F7"/>
    <w:rsid w:val="00FB3D18"/>
    <w:rsid w:val="00FB50AC"/>
    <w:rsid w:val="00FB537A"/>
    <w:rsid w:val="00FC5693"/>
    <w:rsid w:val="00FC6F9F"/>
    <w:rsid w:val="00FD01BE"/>
    <w:rsid w:val="00FD088E"/>
    <w:rsid w:val="00FD2141"/>
    <w:rsid w:val="00FD45BA"/>
    <w:rsid w:val="00FE170C"/>
    <w:rsid w:val="00FE5528"/>
    <w:rsid w:val="00FE6CE2"/>
    <w:rsid w:val="00FE7CB3"/>
    <w:rsid w:val="00FF293A"/>
    <w:rsid w:val="00FF7E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CE7E"/>
  <w15:docId w15:val="{97E0F8D7-7567-4758-8615-EC2699AE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E25F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13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E25F57"/>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345EC9"/>
    <w:pPr>
      <w:tabs>
        <w:tab w:val="center" w:pos="4536"/>
        <w:tab w:val="right" w:pos="9072"/>
      </w:tabs>
      <w:spacing w:after="0" w:line="240" w:lineRule="auto"/>
    </w:pPr>
  </w:style>
  <w:style w:type="character" w:customStyle="1" w:styleId="En-tteCar">
    <w:name w:val="En-tête Car"/>
    <w:basedOn w:val="Policepardfaut"/>
    <w:link w:val="En-tte"/>
    <w:uiPriority w:val="99"/>
    <w:rsid w:val="00345EC9"/>
  </w:style>
  <w:style w:type="paragraph" w:styleId="Pieddepage">
    <w:name w:val="footer"/>
    <w:basedOn w:val="Normal"/>
    <w:link w:val="PieddepageCar"/>
    <w:uiPriority w:val="99"/>
    <w:unhideWhenUsed/>
    <w:rsid w:val="00345E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5EC9"/>
  </w:style>
  <w:style w:type="paragraph" w:styleId="Textedebulles">
    <w:name w:val="Balloon Text"/>
    <w:basedOn w:val="Normal"/>
    <w:link w:val="TextedebullesCar"/>
    <w:uiPriority w:val="99"/>
    <w:semiHidden/>
    <w:unhideWhenUsed/>
    <w:rsid w:val="000F35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35F9"/>
    <w:rPr>
      <w:rFonts w:ascii="Segoe UI" w:hAnsi="Segoe UI" w:cs="Segoe UI"/>
      <w:sz w:val="18"/>
      <w:szCs w:val="18"/>
    </w:rPr>
  </w:style>
  <w:style w:type="character" w:styleId="Marquedecommentaire">
    <w:name w:val="annotation reference"/>
    <w:basedOn w:val="Policepardfaut"/>
    <w:uiPriority w:val="99"/>
    <w:semiHidden/>
    <w:unhideWhenUsed/>
    <w:rsid w:val="00711876"/>
    <w:rPr>
      <w:sz w:val="16"/>
      <w:szCs w:val="16"/>
    </w:rPr>
  </w:style>
  <w:style w:type="paragraph" w:styleId="Commentaire">
    <w:name w:val="annotation text"/>
    <w:basedOn w:val="Normal"/>
    <w:link w:val="CommentaireCar"/>
    <w:uiPriority w:val="99"/>
    <w:semiHidden/>
    <w:unhideWhenUsed/>
    <w:rsid w:val="00711876"/>
    <w:pPr>
      <w:spacing w:line="240" w:lineRule="auto"/>
    </w:pPr>
    <w:rPr>
      <w:sz w:val="20"/>
      <w:szCs w:val="20"/>
    </w:rPr>
  </w:style>
  <w:style w:type="character" w:customStyle="1" w:styleId="CommentaireCar">
    <w:name w:val="Commentaire Car"/>
    <w:basedOn w:val="Policepardfaut"/>
    <w:link w:val="Commentaire"/>
    <w:uiPriority w:val="99"/>
    <w:semiHidden/>
    <w:rsid w:val="00711876"/>
    <w:rPr>
      <w:sz w:val="20"/>
      <w:szCs w:val="20"/>
    </w:rPr>
  </w:style>
  <w:style w:type="paragraph" w:styleId="Objetducommentaire">
    <w:name w:val="annotation subject"/>
    <w:basedOn w:val="Commentaire"/>
    <w:next w:val="Commentaire"/>
    <w:link w:val="ObjetducommentaireCar"/>
    <w:uiPriority w:val="99"/>
    <w:semiHidden/>
    <w:unhideWhenUsed/>
    <w:rsid w:val="00711876"/>
    <w:rPr>
      <w:b/>
      <w:bCs/>
    </w:rPr>
  </w:style>
  <w:style w:type="character" w:customStyle="1" w:styleId="ObjetducommentaireCar">
    <w:name w:val="Objet du commentaire Car"/>
    <w:basedOn w:val="CommentaireCar"/>
    <w:link w:val="Objetducommentaire"/>
    <w:uiPriority w:val="99"/>
    <w:semiHidden/>
    <w:rsid w:val="007118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7AF8D-F814-4D52-B5CE-F2993D53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1200</Words>
  <Characters>6602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AMF</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LAVOLE Virginie</dc:creator>
  <cp:lastModifiedBy>Garry</cp:lastModifiedBy>
  <cp:revision>6</cp:revision>
  <cp:lastPrinted>2019-05-27T12:52:00Z</cp:lastPrinted>
  <dcterms:created xsi:type="dcterms:W3CDTF">2019-06-20T08:35:00Z</dcterms:created>
  <dcterms:modified xsi:type="dcterms:W3CDTF">2019-06-20T08:49:00Z</dcterms:modified>
</cp:coreProperties>
</file>