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7905A" w14:textId="77777777" w:rsidR="00127A40" w:rsidRDefault="00F34A21" w:rsidP="003C3728">
      <w:pPr>
        <w:spacing w:after="0" w:line="240" w:lineRule="auto"/>
        <w:jc w:val="center"/>
        <w:rPr>
          <w:rFonts w:ascii="Arial" w:hAnsi="Arial" w:cs="Arial"/>
          <w:b/>
          <w:color w:val="0070C0"/>
          <w:szCs w:val="18"/>
        </w:rPr>
      </w:pPr>
      <w:bookmarkStart w:id="0" w:name="_GoBack"/>
      <w:bookmarkEnd w:id="0"/>
      <w:r>
        <w:rPr>
          <w:rFonts w:ascii="Arial" w:hAnsi="Arial" w:cs="Arial"/>
          <w:b/>
          <w:bCs/>
          <w:color w:val="0070C0"/>
          <w:szCs w:val="18"/>
          <w:lang w:val="en-GB"/>
        </w:rPr>
        <w:t>Case of the Month February 2019</w:t>
      </w:r>
    </w:p>
    <w:p w14:paraId="4B29742F" w14:textId="77777777" w:rsidR="00127A40" w:rsidRDefault="00127A40" w:rsidP="00A643AC">
      <w:pPr>
        <w:spacing w:after="0" w:line="240" w:lineRule="auto"/>
        <w:jc w:val="both"/>
        <w:rPr>
          <w:rFonts w:ascii="Arial" w:hAnsi="Arial" w:cs="Arial"/>
          <w:b/>
          <w:color w:val="0070C0"/>
          <w:szCs w:val="18"/>
        </w:rPr>
      </w:pPr>
    </w:p>
    <w:p w14:paraId="105AFE5A" w14:textId="7AFF0CBC" w:rsidR="001E4767" w:rsidRPr="001F0334" w:rsidRDefault="00737D60" w:rsidP="00A643AC">
      <w:pPr>
        <w:spacing w:after="0" w:line="240" w:lineRule="auto"/>
        <w:jc w:val="both"/>
        <w:rPr>
          <w:rFonts w:ascii="Arial" w:hAnsi="Arial" w:cs="Arial"/>
          <w:b/>
          <w:color w:val="0070C0"/>
          <w:szCs w:val="18"/>
        </w:rPr>
      </w:pPr>
      <w:r>
        <w:rPr>
          <w:rFonts w:ascii="Arial" w:hAnsi="Arial" w:cs="Arial"/>
          <w:b/>
          <w:bCs/>
          <w:color w:val="0070C0"/>
          <w:szCs w:val="18"/>
          <w:lang w:val="en-GB"/>
        </w:rPr>
        <w:t xml:space="preserve">Note that while </w:t>
      </w:r>
      <w:r w:rsidR="004D626B">
        <w:rPr>
          <w:rFonts w:ascii="Arial" w:hAnsi="Arial" w:cs="Arial"/>
          <w:b/>
          <w:bCs/>
          <w:color w:val="0070C0"/>
          <w:szCs w:val="18"/>
          <w:lang w:val="en-GB"/>
        </w:rPr>
        <w:t>investors have the right</w:t>
      </w:r>
      <w:r>
        <w:rPr>
          <w:rFonts w:ascii="Arial" w:hAnsi="Arial" w:cs="Arial"/>
          <w:b/>
          <w:bCs/>
          <w:color w:val="0070C0"/>
          <w:szCs w:val="18"/>
          <w:lang w:val="en-GB"/>
        </w:rPr>
        <w:t xml:space="preserve"> to </w:t>
      </w:r>
      <w:r w:rsidR="004D626B">
        <w:rPr>
          <w:rFonts w:ascii="Arial" w:hAnsi="Arial" w:cs="Arial"/>
          <w:b/>
          <w:bCs/>
          <w:color w:val="0070C0"/>
          <w:szCs w:val="18"/>
          <w:lang w:val="en-GB"/>
        </w:rPr>
        <w:t xml:space="preserve">possess </w:t>
      </w:r>
      <w:r>
        <w:rPr>
          <w:rFonts w:ascii="Arial" w:hAnsi="Arial" w:cs="Arial"/>
          <w:b/>
          <w:bCs/>
          <w:color w:val="0070C0"/>
          <w:szCs w:val="18"/>
          <w:lang w:val="en-GB"/>
        </w:rPr>
        <w:t>deposit account</w:t>
      </w:r>
      <w:r w:rsidR="004D626B">
        <w:rPr>
          <w:rFonts w:ascii="Arial" w:hAnsi="Arial" w:cs="Arial"/>
          <w:b/>
          <w:bCs/>
          <w:color w:val="0070C0"/>
          <w:szCs w:val="18"/>
          <w:lang w:val="en-GB"/>
        </w:rPr>
        <w:t>s</w:t>
      </w:r>
      <w:r>
        <w:rPr>
          <w:rFonts w:ascii="Arial" w:hAnsi="Arial" w:cs="Arial"/>
          <w:b/>
          <w:bCs/>
          <w:color w:val="0070C0"/>
          <w:szCs w:val="18"/>
          <w:lang w:val="en-GB"/>
        </w:rPr>
        <w:t>, this is not the case for securities account</w:t>
      </w:r>
      <w:r w:rsidR="004D626B">
        <w:rPr>
          <w:rFonts w:ascii="Arial" w:hAnsi="Arial" w:cs="Arial"/>
          <w:b/>
          <w:bCs/>
          <w:color w:val="0070C0"/>
          <w:szCs w:val="18"/>
          <w:lang w:val="en-GB"/>
        </w:rPr>
        <w:t>s</w:t>
      </w:r>
      <w:r>
        <w:rPr>
          <w:rFonts w:ascii="Arial" w:hAnsi="Arial" w:cs="Arial"/>
          <w:b/>
          <w:bCs/>
          <w:color w:val="0070C0"/>
          <w:szCs w:val="18"/>
          <w:lang w:val="en-GB"/>
        </w:rPr>
        <w:t>.</w:t>
      </w:r>
    </w:p>
    <w:p w14:paraId="0DDC7CEB" w14:textId="77777777" w:rsidR="00737D60" w:rsidRDefault="00737D60" w:rsidP="00A643AC">
      <w:pPr>
        <w:spacing w:after="0" w:line="240" w:lineRule="auto"/>
        <w:jc w:val="both"/>
        <w:rPr>
          <w:rFonts w:ascii="Arial" w:hAnsi="Arial" w:cs="Arial"/>
          <w:sz w:val="18"/>
          <w:szCs w:val="18"/>
        </w:rPr>
      </w:pPr>
    </w:p>
    <w:p w14:paraId="5EB0FC04" w14:textId="757C5E5E" w:rsidR="00737D60" w:rsidRDefault="004D626B" w:rsidP="00A643AC">
      <w:pPr>
        <w:spacing w:after="0" w:line="240" w:lineRule="auto"/>
        <w:jc w:val="both"/>
        <w:rPr>
          <w:rFonts w:ascii="Arial" w:hAnsi="Arial" w:cs="Arial"/>
          <w:sz w:val="18"/>
          <w:szCs w:val="18"/>
        </w:rPr>
      </w:pPr>
      <w:r>
        <w:rPr>
          <w:rFonts w:ascii="Arial" w:hAnsi="Arial" w:cs="Arial"/>
          <w:sz w:val="18"/>
          <w:szCs w:val="18"/>
          <w:lang w:val="en-GB"/>
        </w:rPr>
        <w:t>R</w:t>
      </w:r>
      <w:r w:rsidR="00A643AC">
        <w:rPr>
          <w:rFonts w:ascii="Arial" w:hAnsi="Arial" w:cs="Arial"/>
          <w:sz w:val="18"/>
          <w:szCs w:val="18"/>
          <w:lang w:val="en-GB"/>
        </w:rPr>
        <w:t>etail investor</w:t>
      </w:r>
      <w:r>
        <w:rPr>
          <w:rFonts w:ascii="Arial" w:hAnsi="Arial" w:cs="Arial"/>
          <w:sz w:val="18"/>
          <w:szCs w:val="18"/>
          <w:lang w:val="en-GB"/>
        </w:rPr>
        <w:t>s</w:t>
      </w:r>
      <w:r w:rsidR="00A643AC">
        <w:rPr>
          <w:rFonts w:ascii="Arial" w:hAnsi="Arial" w:cs="Arial"/>
          <w:sz w:val="18"/>
          <w:szCs w:val="18"/>
          <w:lang w:val="en-GB"/>
        </w:rPr>
        <w:t xml:space="preserve"> do not have </w:t>
      </w:r>
      <w:r>
        <w:rPr>
          <w:rFonts w:ascii="Arial" w:hAnsi="Arial" w:cs="Arial"/>
          <w:sz w:val="18"/>
          <w:szCs w:val="18"/>
          <w:lang w:val="en-GB"/>
        </w:rPr>
        <w:t>the</w:t>
      </w:r>
      <w:r w:rsidR="00A643AC">
        <w:rPr>
          <w:rFonts w:ascii="Arial" w:hAnsi="Arial" w:cs="Arial"/>
          <w:sz w:val="18"/>
          <w:szCs w:val="18"/>
          <w:lang w:val="en-GB"/>
        </w:rPr>
        <w:t xml:space="preserve"> right to require </w:t>
      </w:r>
      <w:r>
        <w:rPr>
          <w:rFonts w:ascii="Arial" w:hAnsi="Arial" w:cs="Arial"/>
          <w:sz w:val="18"/>
          <w:szCs w:val="18"/>
          <w:lang w:val="en-GB"/>
        </w:rPr>
        <w:t>their</w:t>
      </w:r>
      <w:r w:rsidR="00A643AC">
        <w:rPr>
          <w:rFonts w:ascii="Arial" w:hAnsi="Arial" w:cs="Arial"/>
          <w:sz w:val="18"/>
          <w:szCs w:val="18"/>
          <w:lang w:val="en-GB"/>
        </w:rPr>
        <w:t xml:space="preserve"> bank to open a securities account. The </w:t>
      </w:r>
      <w:r>
        <w:rPr>
          <w:rFonts w:ascii="Arial" w:hAnsi="Arial" w:cs="Arial"/>
          <w:sz w:val="18"/>
          <w:szCs w:val="18"/>
          <w:lang w:val="en-GB"/>
        </w:rPr>
        <w:t>L</w:t>
      </w:r>
      <w:r w:rsidR="00A643AC">
        <w:rPr>
          <w:rFonts w:ascii="Arial" w:hAnsi="Arial" w:cs="Arial"/>
          <w:sz w:val="18"/>
          <w:szCs w:val="18"/>
          <w:lang w:val="en-GB"/>
        </w:rPr>
        <w:t xml:space="preserve">aw of 24 January 1984, which establishes the right </w:t>
      </w:r>
      <w:r>
        <w:rPr>
          <w:rFonts w:ascii="Arial" w:hAnsi="Arial" w:cs="Arial"/>
          <w:sz w:val="18"/>
          <w:szCs w:val="18"/>
          <w:lang w:val="en-GB"/>
        </w:rPr>
        <w:t>for</w:t>
      </w:r>
      <w:r w:rsidR="00A643AC">
        <w:rPr>
          <w:rFonts w:ascii="Arial" w:hAnsi="Arial" w:cs="Arial"/>
          <w:sz w:val="18"/>
          <w:szCs w:val="18"/>
          <w:lang w:val="en-GB"/>
        </w:rPr>
        <w:t xml:space="preserve"> a person to </w:t>
      </w:r>
      <w:r>
        <w:rPr>
          <w:rFonts w:ascii="Arial" w:hAnsi="Arial" w:cs="Arial"/>
          <w:sz w:val="18"/>
          <w:szCs w:val="18"/>
          <w:lang w:val="en-GB"/>
        </w:rPr>
        <w:t>possess</w:t>
      </w:r>
      <w:r w:rsidR="00A643AC">
        <w:rPr>
          <w:rFonts w:ascii="Arial" w:hAnsi="Arial" w:cs="Arial"/>
          <w:sz w:val="18"/>
          <w:szCs w:val="18"/>
          <w:lang w:val="en-GB"/>
        </w:rPr>
        <w:t xml:space="preserve"> a deposit account, is not intended to apply to any type of account. </w:t>
      </w:r>
    </w:p>
    <w:p w14:paraId="46C10B95" w14:textId="77777777" w:rsidR="007D7AC8" w:rsidRDefault="007D7AC8" w:rsidP="0030374E">
      <w:pPr>
        <w:spacing w:after="0" w:line="240" w:lineRule="auto"/>
        <w:rPr>
          <w:rFonts w:ascii="Arial" w:hAnsi="Arial" w:cs="Arial"/>
          <w:sz w:val="18"/>
          <w:szCs w:val="18"/>
        </w:rPr>
      </w:pPr>
    </w:p>
    <w:p w14:paraId="76E61CB5" w14:textId="389E1B30" w:rsidR="007D7AC8" w:rsidRDefault="007D7AC8" w:rsidP="0030374E">
      <w:pPr>
        <w:spacing w:after="0" w:line="240" w:lineRule="auto"/>
        <w:rPr>
          <w:rFonts w:ascii="Arial" w:hAnsi="Arial" w:cs="Arial"/>
          <w:sz w:val="18"/>
          <w:szCs w:val="18"/>
        </w:rPr>
      </w:pPr>
      <w:r>
        <w:rPr>
          <w:rFonts w:ascii="Arial" w:hAnsi="Arial" w:cs="Arial"/>
          <w:sz w:val="18"/>
          <w:szCs w:val="18"/>
          <w:lang w:val="en-GB"/>
        </w:rPr>
        <w:t xml:space="preserve">The case I am presenting to you this month </w:t>
      </w:r>
      <w:r w:rsidR="004D626B">
        <w:rPr>
          <w:rFonts w:ascii="Arial" w:hAnsi="Arial" w:cs="Arial"/>
          <w:sz w:val="18"/>
          <w:szCs w:val="18"/>
          <w:lang w:val="en-GB"/>
        </w:rPr>
        <w:t>gives</w:t>
      </w:r>
      <w:r>
        <w:rPr>
          <w:rFonts w:ascii="Arial" w:hAnsi="Arial" w:cs="Arial"/>
          <w:sz w:val="18"/>
          <w:szCs w:val="18"/>
          <w:lang w:val="en-GB"/>
        </w:rPr>
        <w:t xml:space="preserve"> me </w:t>
      </w:r>
      <w:r w:rsidR="004D626B">
        <w:rPr>
          <w:rFonts w:ascii="Arial" w:hAnsi="Arial" w:cs="Arial"/>
          <w:sz w:val="18"/>
          <w:szCs w:val="18"/>
          <w:lang w:val="en-GB"/>
        </w:rPr>
        <w:t>an</w:t>
      </w:r>
      <w:r>
        <w:rPr>
          <w:rFonts w:ascii="Arial" w:hAnsi="Arial" w:cs="Arial"/>
          <w:sz w:val="18"/>
          <w:szCs w:val="18"/>
          <w:lang w:val="en-GB"/>
        </w:rPr>
        <w:t xml:space="preserve"> opportunity to remind you of the scope of this principle.</w:t>
      </w:r>
    </w:p>
    <w:p w14:paraId="74E833D4" w14:textId="77777777" w:rsidR="001F56E2" w:rsidRDefault="001F56E2" w:rsidP="0030374E">
      <w:pPr>
        <w:spacing w:after="0" w:line="240" w:lineRule="auto"/>
        <w:rPr>
          <w:rFonts w:ascii="Arial" w:hAnsi="Arial" w:cs="Arial"/>
          <w:sz w:val="18"/>
          <w:szCs w:val="18"/>
        </w:rPr>
      </w:pPr>
    </w:p>
    <w:p w14:paraId="0B193166" w14:textId="77777777" w:rsidR="007D7AC8" w:rsidRPr="001F0334" w:rsidRDefault="007D7AC8" w:rsidP="007D7AC8">
      <w:pPr>
        <w:spacing w:after="0" w:line="240" w:lineRule="auto"/>
        <w:jc w:val="both"/>
        <w:rPr>
          <w:rFonts w:ascii="Arial" w:hAnsi="Arial" w:cs="Arial"/>
          <w:b/>
          <w:sz w:val="18"/>
          <w:szCs w:val="18"/>
          <w:u w:val="single"/>
        </w:rPr>
      </w:pPr>
      <w:r>
        <w:rPr>
          <w:rFonts w:ascii="Arial" w:hAnsi="Arial" w:cs="Arial"/>
          <w:b/>
          <w:bCs/>
          <w:sz w:val="18"/>
          <w:szCs w:val="18"/>
          <w:u w:val="single"/>
          <w:lang w:val="en-GB"/>
        </w:rPr>
        <w:t xml:space="preserve">The Facts </w:t>
      </w:r>
    </w:p>
    <w:p w14:paraId="6088C063" w14:textId="77777777" w:rsidR="007D7AC8" w:rsidRDefault="007D7AC8" w:rsidP="007D7AC8">
      <w:pPr>
        <w:spacing w:after="0" w:line="240" w:lineRule="auto"/>
        <w:jc w:val="both"/>
        <w:rPr>
          <w:rFonts w:ascii="Arial" w:hAnsi="Arial" w:cs="Arial"/>
          <w:sz w:val="18"/>
          <w:szCs w:val="18"/>
        </w:rPr>
      </w:pPr>
    </w:p>
    <w:p w14:paraId="794987DA" w14:textId="24C8CBCF" w:rsidR="007D7AC8" w:rsidRDefault="00BA04CF" w:rsidP="007D7AC8">
      <w:pPr>
        <w:spacing w:after="0" w:line="240" w:lineRule="auto"/>
        <w:jc w:val="both"/>
        <w:rPr>
          <w:rFonts w:ascii="Arial" w:hAnsi="Arial" w:cs="Arial"/>
          <w:sz w:val="18"/>
          <w:szCs w:val="18"/>
        </w:rPr>
      </w:pPr>
      <w:r>
        <w:rPr>
          <w:rFonts w:ascii="Arial" w:hAnsi="Arial" w:cs="Arial"/>
          <w:sz w:val="18"/>
          <w:szCs w:val="18"/>
          <w:lang w:val="en-GB"/>
        </w:rPr>
        <w:t>In August 2018, Mr D</w:t>
      </w:r>
      <w:r w:rsidR="00C94CAC">
        <w:rPr>
          <w:rFonts w:ascii="Arial" w:hAnsi="Arial" w:cs="Arial"/>
          <w:sz w:val="18"/>
          <w:szCs w:val="18"/>
          <w:lang w:val="en-GB"/>
        </w:rPr>
        <w:t>.</w:t>
      </w:r>
      <w:r>
        <w:rPr>
          <w:rFonts w:ascii="Arial" w:hAnsi="Arial" w:cs="Arial"/>
          <w:sz w:val="18"/>
          <w:szCs w:val="18"/>
          <w:lang w:val="en-GB"/>
        </w:rPr>
        <w:t xml:space="preserve"> </w:t>
      </w:r>
      <w:r w:rsidR="008F1E5A">
        <w:rPr>
          <w:rFonts w:ascii="Arial" w:hAnsi="Arial" w:cs="Arial"/>
          <w:sz w:val="18"/>
          <w:szCs w:val="18"/>
          <w:lang w:val="en-GB"/>
        </w:rPr>
        <w:t>applied</w:t>
      </w:r>
      <w:r>
        <w:rPr>
          <w:rFonts w:ascii="Arial" w:hAnsi="Arial" w:cs="Arial"/>
          <w:sz w:val="18"/>
          <w:szCs w:val="18"/>
          <w:lang w:val="en-GB"/>
        </w:rPr>
        <w:t xml:space="preserve"> to open an ordinary securities account in the name of the simplified joint-stock company</w:t>
      </w:r>
      <w:r w:rsidR="00433632">
        <w:rPr>
          <w:rFonts w:ascii="Arial" w:hAnsi="Arial" w:cs="Arial"/>
          <w:sz w:val="18"/>
          <w:szCs w:val="18"/>
          <w:lang w:val="en-GB"/>
        </w:rPr>
        <w:t xml:space="preserve"> (SAS</w:t>
      </w:r>
      <w:r>
        <w:rPr>
          <w:rFonts w:ascii="Arial" w:hAnsi="Arial" w:cs="Arial"/>
          <w:sz w:val="18"/>
          <w:szCs w:val="18"/>
          <w:lang w:val="en-GB"/>
        </w:rPr>
        <w:t>) of which he is the CEO.</w:t>
      </w:r>
    </w:p>
    <w:p w14:paraId="14EDB9FF" w14:textId="77777777" w:rsidR="007D7AC8" w:rsidRDefault="007D7AC8" w:rsidP="007D7AC8">
      <w:pPr>
        <w:spacing w:after="0" w:line="240" w:lineRule="auto"/>
        <w:jc w:val="both"/>
        <w:rPr>
          <w:rFonts w:ascii="Arial" w:hAnsi="Arial" w:cs="Arial"/>
          <w:sz w:val="18"/>
          <w:szCs w:val="18"/>
        </w:rPr>
      </w:pPr>
    </w:p>
    <w:p w14:paraId="7F053297" w14:textId="1EE95D35" w:rsidR="007D7AC8" w:rsidRDefault="007D7AC8" w:rsidP="007D7AC8">
      <w:pPr>
        <w:spacing w:after="0" w:line="240" w:lineRule="auto"/>
        <w:jc w:val="both"/>
        <w:rPr>
          <w:rFonts w:ascii="Arial" w:hAnsi="Arial" w:cs="Arial"/>
          <w:sz w:val="18"/>
          <w:szCs w:val="18"/>
        </w:rPr>
      </w:pPr>
      <w:r>
        <w:rPr>
          <w:rFonts w:ascii="Arial" w:hAnsi="Arial" w:cs="Arial"/>
          <w:sz w:val="18"/>
          <w:szCs w:val="18"/>
          <w:lang w:val="en-GB"/>
        </w:rPr>
        <w:t>The bank informed him that</w:t>
      </w:r>
      <w:r w:rsidR="007C5B25">
        <w:rPr>
          <w:rFonts w:ascii="Arial" w:hAnsi="Arial" w:cs="Arial"/>
          <w:sz w:val="18"/>
          <w:szCs w:val="18"/>
          <w:lang w:val="en-GB"/>
        </w:rPr>
        <w:t xml:space="preserve"> it was not authorised to open such an</w:t>
      </w:r>
      <w:r>
        <w:rPr>
          <w:rFonts w:ascii="Arial" w:hAnsi="Arial" w:cs="Arial"/>
          <w:sz w:val="18"/>
          <w:szCs w:val="18"/>
          <w:lang w:val="en-GB"/>
        </w:rPr>
        <w:t xml:space="preserve"> account for a company with variable capital</w:t>
      </w:r>
      <w:r w:rsidR="007C5B25">
        <w:rPr>
          <w:rFonts w:ascii="Arial" w:hAnsi="Arial" w:cs="Arial"/>
          <w:sz w:val="18"/>
          <w:szCs w:val="18"/>
          <w:lang w:val="en-GB"/>
        </w:rPr>
        <w:t>:</w:t>
      </w:r>
      <w:r>
        <w:rPr>
          <w:rFonts w:ascii="Arial" w:hAnsi="Arial" w:cs="Arial"/>
          <w:sz w:val="18"/>
          <w:szCs w:val="18"/>
          <w:lang w:val="en-GB"/>
        </w:rPr>
        <w:t xml:space="preserve"> </w:t>
      </w:r>
      <w:r w:rsidR="007C5B25">
        <w:rPr>
          <w:rFonts w:ascii="Arial" w:hAnsi="Arial" w:cs="Arial"/>
          <w:sz w:val="18"/>
          <w:szCs w:val="18"/>
          <w:lang w:val="en-GB"/>
        </w:rPr>
        <w:t xml:space="preserve">in fact, </w:t>
      </w:r>
      <w:r>
        <w:rPr>
          <w:rFonts w:ascii="Arial" w:hAnsi="Arial" w:cs="Arial"/>
          <w:sz w:val="18"/>
          <w:szCs w:val="18"/>
          <w:lang w:val="en-GB"/>
        </w:rPr>
        <w:t>the institution d</w:t>
      </w:r>
      <w:r w:rsidR="007C5B25">
        <w:rPr>
          <w:rFonts w:ascii="Arial" w:hAnsi="Arial" w:cs="Arial"/>
          <w:sz w:val="18"/>
          <w:szCs w:val="18"/>
          <w:lang w:val="en-GB"/>
        </w:rPr>
        <w:t>id</w:t>
      </w:r>
      <w:r>
        <w:rPr>
          <w:rFonts w:ascii="Arial" w:hAnsi="Arial" w:cs="Arial"/>
          <w:sz w:val="18"/>
          <w:szCs w:val="18"/>
          <w:lang w:val="en-GB"/>
        </w:rPr>
        <w:t xml:space="preserve"> not have the procedures and tools </w:t>
      </w:r>
      <w:r w:rsidR="007C5B25">
        <w:rPr>
          <w:rFonts w:ascii="Arial" w:hAnsi="Arial" w:cs="Arial"/>
          <w:sz w:val="18"/>
          <w:szCs w:val="18"/>
          <w:lang w:val="en-GB"/>
        </w:rPr>
        <w:t xml:space="preserve">it needed </w:t>
      </w:r>
      <w:r>
        <w:rPr>
          <w:rFonts w:ascii="Arial" w:hAnsi="Arial" w:cs="Arial"/>
          <w:sz w:val="18"/>
          <w:szCs w:val="18"/>
          <w:lang w:val="en-GB"/>
        </w:rPr>
        <w:t xml:space="preserve">to determine the </w:t>
      </w:r>
      <w:r w:rsidR="007C5B25">
        <w:rPr>
          <w:rFonts w:ascii="Arial" w:hAnsi="Arial" w:cs="Arial"/>
          <w:sz w:val="18"/>
          <w:szCs w:val="18"/>
          <w:lang w:val="en-GB"/>
        </w:rPr>
        <w:t>effective beneficiaries in</w:t>
      </w:r>
      <w:r>
        <w:rPr>
          <w:rFonts w:ascii="Arial" w:hAnsi="Arial" w:cs="Arial"/>
          <w:sz w:val="18"/>
          <w:szCs w:val="18"/>
          <w:lang w:val="en-GB"/>
        </w:rPr>
        <w:t xml:space="preserve"> variable capital companies. </w:t>
      </w:r>
    </w:p>
    <w:p w14:paraId="0572CB96" w14:textId="77777777" w:rsidR="007D7AC8" w:rsidRDefault="007D7AC8" w:rsidP="007D7AC8">
      <w:pPr>
        <w:spacing w:after="0" w:line="240" w:lineRule="auto"/>
        <w:jc w:val="both"/>
        <w:rPr>
          <w:rFonts w:ascii="Arial" w:hAnsi="Arial" w:cs="Arial"/>
          <w:sz w:val="18"/>
          <w:szCs w:val="18"/>
        </w:rPr>
      </w:pPr>
    </w:p>
    <w:p w14:paraId="1FF8EF5E" w14:textId="463F89F5" w:rsidR="007D7AC8" w:rsidRDefault="007D7AC8" w:rsidP="007D7AC8">
      <w:pPr>
        <w:spacing w:after="0" w:line="240" w:lineRule="auto"/>
        <w:jc w:val="both"/>
        <w:rPr>
          <w:rFonts w:ascii="Arial" w:hAnsi="Arial" w:cs="Arial"/>
          <w:sz w:val="18"/>
          <w:szCs w:val="18"/>
        </w:rPr>
      </w:pPr>
      <w:r>
        <w:rPr>
          <w:rFonts w:ascii="Arial" w:hAnsi="Arial" w:cs="Arial"/>
          <w:sz w:val="18"/>
          <w:szCs w:val="18"/>
          <w:lang w:val="en-GB"/>
        </w:rPr>
        <w:t>Nevertheless, Mr D</w:t>
      </w:r>
      <w:r w:rsidR="00C94CAC">
        <w:rPr>
          <w:rFonts w:ascii="Arial" w:hAnsi="Arial" w:cs="Arial"/>
          <w:sz w:val="18"/>
          <w:szCs w:val="18"/>
          <w:lang w:val="en-GB"/>
        </w:rPr>
        <w:t>.</w:t>
      </w:r>
      <w:r>
        <w:rPr>
          <w:rFonts w:ascii="Arial" w:hAnsi="Arial" w:cs="Arial"/>
          <w:sz w:val="18"/>
          <w:szCs w:val="18"/>
          <w:lang w:val="en-GB"/>
        </w:rPr>
        <w:t xml:space="preserve"> persisted with his application and requested my intervention to secure the opening of a securities account, while claiming the loss of investment opportunities. </w:t>
      </w:r>
    </w:p>
    <w:p w14:paraId="2C03B3A1" w14:textId="77777777" w:rsidR="007D7AC8" w:rsidRDefault="007D7AC8" w:rsidP="0030374E">
      <w:pPr>
        <w:spacing w:after="0" w:line="240" w:lineRule="auto"/>
        <w:rPr>
          <w:rFonts w:ascii="Arial" w:hAnsi="Arial" w:cs="Arial"/>
          <w:sz w:val="18"/>
          <w:szCs w:val="18"/>
        </w:rPr>
      </w:pPr>
    </w:p>
    <w:p w14:paraId="250EF019" w14:textId="77777777" w:rsidR="007D7AC8" w:rsidRPr="001F0334" w:rsidRDefault="007D7AC8" w:rsidP="007D7AC8">
      <w:pPr>
        <w:spacing w:after="0" w:line="240" w:lineRule="auto"/>
        <w:jc w:val="both"/>
        <w:rPr>
          <w:rFonts w:ascii="Arial" w:hAnsi="Arial" w:cs="Arial"/>
          <w:b/>
          <w:sz w:val="18"/>
          <w:szCs w:val="18"/>
          <w:u w:val="single"/>
        </w:rPr>
      </w:pPr>
      <w:r>
        <w:rPr>
          <w:rFonts w:ascii="Arial" w:hAnsi="Arial" w:cs="Arial"/>
          <w:b/>
          <w:bCs/>
          <w:sz w:val="18"/>
          <w:szCs w:val="18"/>
          <w:u w:val="single"/>
          <w:lang w:val="en-GB"/>
        </w:rPr>
        <w:t>Investigation</w:t>
      </w:r>
    </w:p>
    <w:p w14:paraId="491DA2EF" w14:textId="77777777" w:rsidR="007D7AC8" w:rsidRDefault="007D7AC8" w:rsidP="007D7AC8">
      <w:pPr>
        <w:spacing w:after="0" w:line="240" w:lineRule="auto"/>
        <w:jc w:val="both"/>
        <w:rPr>
          <w:rFonts w:ascii="Arial" w:hAnsi="Arial" w:cs="Arial"/>
          <w:sz w:val="18"/>
          <w:szCs w:val="18"/>
        </w:rPr>
      </w:pPr>
    </w:p>
    <w:p w14:paraId="110078FA" w14:textId="77777777" w:rsidR="007D7AC8" w:rsidRDefault="0043739D" w:rsidP="007D7AC8">
      <w:pPr>
        <w:spacing w:after="0" w:line="240" w:lineRule="auto"/>
        <w:jc w:val="both"/>
        <w:rPr>
          <w:rFonts w:ascii="Arial" w:hAnsi="Arial" w:cs="Arial"/>
          <w:sz w:val="18"/>
          <w:szCs w:val="18"/>
        </w:rPr>
      </w:pPr>
      <w:r>
        <w:rPr>
          <w:rFonts w:ascii="Arial" w:hAnsi="Arial" w:cs="Arial"/>
          <w:sz w:val="18"/>
          <w:szCs w:val="18"/>
          <w:lang w:val="en-GB"/>
        </w:rPr>
        <w:t xml:space="preserve">In addition to the technical and procedural constraints referred to by the institution, I examined this case in the context of the regulations relating to accounts and deposits and with regard to the documents provided by Mr D. </w:t>
      </w:r>
    </w:p>
    <w:p w14:paraId="5A2DD39A" w14:textId="77777777" w:rsidR="007D7AC8" w:rsidRDefault="007D7AC8" w:rsidP="0030374E">
      <w:pPr>
        <w:spacing w:after="0" w:line="240" w:lineRule="auto"/>
        <w:rPr>
          <w:rFonts w:ascii="Arial" w:hAnsi="Arial" w:cs="Arial"/>
          <w:sz w:val="18"/>
          <w:szCs w:val="18"/>
        </w:rPr>
      </w:pPr>
    </w:p>
    <w:p w14:paraId="2B1BB169" w14:textId="3E8F66CC" w:rsidR="000E2A54" w:rsidRDefault="0043739D" w:rsidP="000E2A54">
      <w:pPr>
        <w:spacing w:after="0" w:line="240" w:lineRule="auto"/>
        <w:jc w:val="both"/>
        <w:rPr>
          <w:rFonts w:ascii="Arial" w:hAnsi="Arial" w:cs="Arial"/>
          <w:sz w:val="18"/>
          <w:szCs w:val="18"/>
        </w:rPr>
      </w:pPr>
      <w:r>
        <w:rPr>
          <w:rFonts w:ascii="Arial" w:hAnsi="Arial" w:cs="Arial"/>
          <w:sz w:val="18"/>
          <w:szCs w:val="18"/>
          <w:lang w:val="en-GB"/>
        </w:rPr>
        <w:t>As a reminder, Article L. 312-1 of the Monetary and Financial Code limits the freedom</w:t>
      </w:r>
      <w:r w:rsidR="00C94CAC">
        <w:rPr>
          <w:rFonts w:ascii="Arial" w:hAnsi="Arial" w:cs="Arial"/>
          <w:sz w:val="18"/>
          <w:szCs w:val="18"/>
          <w:lang w:val="en-GB"/>
        </w:rPr>
        <w:t xml:space="preserve"> of banks to</w:t>
      </w:r>
      <w:r>
        <w:rPr>
          <w:rFonts w:ascii="Arial" w:hAnsi="Arial" w:cs="Arial"/>
          <w:sz w:val="18"/>
          <w:szCs w:val="18"/>
          <w:lang w:val="en-GB"/>
        </w:rPr>
        <w:t xml:space="preserve"> refuse to open an account. It provides for </w:t>
      </w:r>
      <w:r w:rsidR="00C94CAC">
        <w:rPr>
          <w:rFonts w:ascii="Arial" w:hAnsi="Arial" w:cs="Arial"/>
          <w:sz w:val="18"/>
          <w:szCs w:val="18"/>
          <w:lang w:val="en-GB"/>
        </w:rPr>
        <w:t>the</w:t>
      </w:r>
      <w:r>
        <w:rPr>
          <w:rFonts w:ascii="Arial" w:hAnsi="Arial" w:cs="Arial"/>
          <w:sz w:val="18"/>
          <w:szCs w:val="18"/>
          <w:lang w:val="en-GB"/>
        </w:rPr>
        <w:t xml:space="preserve"> right to open a deposit account at the credit institution of one’s choice, provided that </w:t>
      </w:r>
      <w:r w:rsidR="00433632">
        <w:rPr>
          <w:rFonts w:ascii="Arial" w:hAnsi="Arial" w:cs="Arial"/>
          <w:sz w:val="18"/>
          <w:szCs w:val="18"/>
          <w:lang w:val="en-GB"/>
        </w:rPr>
        <w:t>a deposit account</w:t>
      </w:r>
      <w:r>
        <w:rPr>
          <w:rFonts w:ascii="Arial" w:hAnsi="Arial" w:cs="Arial"/>
          <w:sz w:val="18"/>
          <w:szCs w:val="18"/>
          <w:lang w:val="en-GB"/>
        </w:rPr>
        <w:t xml:space="preserve"> is not already held in France. </w:t>
      </w:r>
    </w:p>
    <w:p w14:paraId="6071C34A" w14:textId="77777777" w:rsidR="00F95F7A" w:rsidRDefault="00F95F7A" w:rsidP="00F95F7A">
      <w:pPr>
        <w:spacing w:after="0" w:line="240" w:lineRule="auto"/>
        <w:jc w:val="both"/>
        <w:rPr>
          <w:rFonts w:ascii="Arial" w:hAnsi="Arial" w:cs="Arial"/>
          <w:sz w:val="18"/>
          <w:szCs w:val="18"/>
        </w:rPr>
      </w:pPr>
    </w:p>
    <w:p w14:paraId="075DC5ED" w14:textId="686B4CEB" w:rsidR="000E2A54" w:rsidRDefault="000E2A54" w:rsidP="000E2A54">
      <w:pPr>
        <w:spacing w:after="0" w:line="240" w:lineRule="auto"/>
        <w:jc w:val="both"/>
        <w:rPr>
          <w:rFonts w:ascii="Arial" w:hAnsi="Arial" w:cs="Arial"/>
          <w:sz w:val="18"/>
          <w:szCs w:val="18"/>
        </w:rPr>
      </w:pPr>
      <w:r>
        <w:rPr>
          <w:rFonts w:ascii="Arial" w:hAnsi="Arial" w:cs="Arial"/>
          <w:sz w:val="18"/>
          <w:szCs w:val="18"/>
          <w:lang w:val="en-GB"/>
        </w:rPr>
        <w:t>The same article then requires the institution that refuses to open the deposit account to provide</w:t>
      </w:r>
      <w:r w:rsidR="008D1A57">
        <w:rPr>
          <w:rFonts w:ascii="Arial" w:hAnsi="Arial" w:cs="Arial"/>
          <w:sz w:val="18"/>
          <w:szCs w:val="18"/>
          <w:lang w:val="en-GB"/>
        </w:rPr>
        <w:t xml:space="preserve"> its</w:t>
      </w:r>
      <w:r>
        <w:rPr>
          <w:rFonts w:ascii="Arial" w:hAnsi="Arial" w:cs="Arial"/>
          <w:sz w:val="18"/>
          <w:szCs w:val="18"/>
          <w:lang w:val="en-GB"/>
        </w:rPr>
        <w:t xml:space="preserve"> reasons in writing (on paper and on another durable medium if </w:t>
      </w:r>
      <w:r w:rsidR="00C94CAC">
        <w:rPr>
          <w:rFonts w:ascii="Arial" w:hAnsi="Arial" w:cs="Arial"/>
          <w:sz w:val="18"/>
          <w:szCs w:val="18"/>
          <w:lang w:val="en-GB"/>
        </w:rPr>
        <w:t>requested by the</w:t>
      </w:r>
      <w:r>
        <w:rPr>
          <w:rFonts w:ascii="Arial" w:hAnsi="Arial" w:cs="Arial"/>
          <w:sz w:val="18"/>
          <w:szCs w:val="18"/>
          <w:lang w:val="en-GB"/>
        </w:rPr>
        <w:t xml:space="preserve"> applicant) and to provide a certificate of refusal informing the applicant that he or she can exercise his or her right to </w:t>
      </w:r>
      <w:r w:rsidR="008D1A57">
        <w:rPr>
          <w:rFonts w:ascii="Arial" w:hAnsi="Arial" w:cs="Arial"/>
          <w:sz w:val="18"/>
          <w:szCs w:val="18"/>
          <w:lang w:val="en-GB"/>
        </w:rPr>
        <w:t>an</w:t>
      </w:r>
      <w:r>
        <w:rPr>
          <w:rFonts w:ascii="Arial" w:hAnsi="Arial" w:cs="Arial"/>
          <w:sz w:val="18"/>
          <w:szCs w:val="18"/>
          <w:lang w:val="en-GB"/>
        </w:rPr>
        <w:t xml:space="preserve"> account </w:t>
      </w:r>
      <w:r w:rsidR="00C94CAC">
        <w:rPr>
          <w:rFonts w:ascii="Arial" w:hAnsi="Arial" w:cs="Arial"/>
          <w:sz w:val="18"/>
          <w:szCs w:val="18"/>
          <w:lang w:val="en-GB"/>
        </w:rPr>
        <w:t>through</w:t>
      </w:r>
      <w:r>
        <w:rPr>
          <w:rFonts w:ascii="Arial" w:hAnsi="Arial" w:cs="Arial"/>
          <w:sz w:val="18"/>
          <w:szCs w:val="18"/>
          <w:lang w:val="en-GB"/>
        </w:rPr>
        <w:t xml:space="preserve"> the Banque de France. The Banque de France then quickly </w:t>
      </w:r>
      <w:r w:rsidR="000B699F">
        <w:rPr>
          <w:rFonts w:ascii="Arial" w:hAnsi="Arial" w:cs="Arial"/>
          <w:sz w:val="18"/>
          <w:szCs w:val="18"/>
          <w:lang w:val="en-GB"/>
        </w:rPr>
        <w:t>assigns</w:t>
      </w:r>
      <w:r>
        <w:rPr>
          <w:rFonts w:ascii="Arial" w:hAnsi="Arial" w:cs="Arial"/>
          <w:sz w:val="18"/>
          <w:szCs w:val="18"/>
          <w:lang w:val="en-GB"/>
        </w:rPr>
        <w:t xml:space="preserve"> a credit institution to the applicant. The choice of institution is made within one working day of receipt of the required documents (defined by </w:t>
      </w:r>
      <w:r w:rsidR="00C94CAC">
        <w:rPr>
          <w:rFonts w:ascii="Arial" w:hAnsi="Arial" w:cs="Arial"/>
          <w:sz w:val="18"/>
          <w:szCs w:val="18"/>
          <w:lang w:val="en-GB"/>
        </w:rPr>
        <w:t>the O</w:t>
      </w:r>
      <w:r>
        <w:rPr>
          <w:rFonts w:ascii="Arial" w:hAnsi="Arial" w:cs="Arial"/>
          <w:sz w:val="18"/>
          <w:szCs w:val="18"/>
          <w:lang w:val="en-GB"/>
        </w:rPr>
        <w:t>rder of 30 May 2014).</w:t>
      </w:r>
    </w:p>
    <w:p w14:paraId="337ED8FC" w14:textId="77777777" w:rsidR="000E2A54" w:rsidRDefault="000E2A54" w:rsidP="00F95F7A">
      <w:pPr>
        <w:spacing w:after="0" w:line="240" w:lineRule="auto"/>
        <w:jc w:val="both"/>
        <w:rPr>
          <w:rFonts w:ascii="Arial" w:hAnsi="Arial" w:cs="Arial"/>
          <w:sz w:val="18"/>
          <w:szCs w:val="18"/>
        </w:rPr>
      </w:pPr>
    </w:p>
    <w:p w14:paraId="245704C1" w14:textId="4CFFE699" w:rsidR="00752AA7" w:rsidRDefault="00C94CAC" w:rsidP="00752AA7">
      <w:pPr>
        <w:spacing w:after="0" w:line="240" w:lineRule="auto"/>
        <w:jc w:val="both"/>
        <w:rPr>
          <w:rFonts w:ascii="Arial" w:hAnsi="Arial" w:cs="Arial"/>
          <w:sz w:val="18"/>
          <w:szCs w:val="18"/>
        </w:rPr>
      </w:pPr>
      <w:r>
        <w:rPr>
          <w:rFonts w:ascii="Arial" w:hAnsi="Arial" w:cs="Arial"/>
          <w:sz w:val="18"/>
          <w:szCs w:val="18"/>
          <w:lang w:val="en-GB"/>
        </w:rPr>
        <w:t>It is important to clarify that</w:t>
      </w:r>
      <w:r w:rsidR="00C4789D">
        <w:rPr>
          <w:rFonts w:ascii="Arial" w:hAnsi="Arial" w:cs="Arial"/>
          <w:sz w:val="18"/>
          <w:szCs w:val="18"/>
          <w:lang w:val="en-GB"/>
        </w:rPr>
        <w:t xml:space="preserve"> </w:t>
      </w:r>
      <w:r>
        <w:rPr>
          <w:rFonts w:ascii="Arial" w:hAnsi="Arial" w:cs="Arial"/>
          <w:sz w:val="18"/>
          <w:szCs w:val="18"/>
          <w:lang w:val="en-GB"/>
        </w:rPr>
        <w:t>although</w:t>
      </w:r>
      <w:r w:rsidR="00C4789D">
        <w:rPr>
          <w:rFonts w:ascii="Arial" w:hAnsi="Arial" w:cs="Arial"/>
          <w:sz w:val="18"/>
          <w:szCs w:val="18"/>
          <w:lang w:val="en-GB"/>
        </w:rPr>
        <w:t xml:space="preserve"> the bank </w:t>
      </w:r>
      <w:r w:rsidR="000B699F">
        <w:rPr>
          <w:rFonts w:ascii="Arial" w:hAnsi="Arial" w:cs="Arial"/>
          <w:sz w:val="18"/>
          <w:szCs w:val="18"/>
          <w:lang w:val="en-GB"/>
        </w:rPr>
        <w:t>assigned</w:t>
      </w:r>
      <w:r w:rsidR="00C4789D">
        <w:rPr>
          <w:rFonts w:ascii="Arial" w:hAnsi="Arial" w:cs="Arial"/>
          <w:sz w:val="18"/>
          <w:szCs w:val="18"/>
          <w:lang w:val="en-GB"/>
        </w:rPr>
        <w:t xml:space="preserve"> by the Banque de France cannot refuse</w:t>
      </w:r>
      <w:r>
        <w:rPr>
          <w:rFonts w:ascii="Arial" w:hAnsi="Arial" w:cs="Arial"/>
          <w:sz w:val="18"/>
          <w:szCs w:val="18"/>
          <w:lang w:val="en-GB"/>
        </w:rPr>
        <w:t xml:space="preserve"> to comply –</w:t>
      </w:r>
      <w:r w:rsidR="00C4789D">
        <w:rPr>
          <w:rFonts w:ascii="Arial" w:hAnsi="Arial" w:cs="Arial"/>
          <w:sz w:val="18"/>
          <w:szCs w:val="18"/>
          <w:lang w:val="en-GB"/>
        </w:rPr>
        <w:t xml:space="preserve"> even if the</w:t>
      </w:r>
      <w:r>
        <w:rPr>
          <w:rFonts w:ascii="Arial" w:hAnsi="Arial" w:cs="Arial"/>
          <w:sz w:val="18"/>
          <w:szCs w:val="18"/>
          <w:lang w:val="en-GB"/>
        </w:rPr>
        <w:t xml:space="preserve"> said</w:t>
      </w:r>
      <w:r w:rsidR="00C4789D">
        <w:rPr>
          <w:rFonts w:ascii="Arial" w:hAnsi="Arial" w:cs="Arial"/>
          <w:sz w:val="18"/>
          <w:szCs w:val="18"/>
          <w:lang w:val="en-GB"/>
        </w:rPr>
        <w:t xml:space="preserve"> bank has already excluded the person concerned from its </w:t>
      </w:r>
      <w:r>
        <w:rPr>
          <w:rFonts w:ascii="Arial" w:hAnsi="Arial" w:cs="Arial"/>
          <w:sz w:val="18"/>
          <w:szCs w:val="18"/>
          <w:lang w:val="en-GB"/>
        </w:rPr>
        <w:t>clientele –</w:t>
      </w:r>
      <w:r w:rsidR="00C4789D">
        <w:rPr>
          <w:rFonts w:ascii="Arial" w:hAnsi="Arial" w:cs="Arial"/>
          <w:sz w:val="18"/>
          <w:szCs w:val="18"/>
          <w:lang w:val="en-GB"/>
        </w:rPr>
        <w:t xml:space="preserve"> it may nevertheless restrict its</w:t>
      </w:r>
      <w:r>
        <w:rPr>
          <w:rFonts w:ascii="Arial" w:hAnsi="Arial" w:cs="Arial"/>
          <w:sz w:val="18"/>
          <w:szCs w:val="18"/>
          <w:lang w:val="en-GB"/>
        </w:rPr>
        <w:t xml:space="preserve"> provision</w:t>
      </w:r>
      <w:r w:rsidR="00C4789D">
        <w:rPr>
          <w:rFonts w:ascii="Arial" w:hAnsi="Arial" w:cs="Arial"/>
          <w:sz w:val="18"/>
          <w:szCs w:val="18"/>
          <w:lang w:val="en-GB"/>
        </w:rPr>
        <w:t xml:space="preserve"> to basic services whose content and pricing conditions are specified by decree.</w:t>
      </w:r>
    </w:p>
    <w:p w14:paraId="395E2559" w14:textId="77777777" w:rsidR="00C4789D" w:rsidRDefault="00C4789D" w:rsidP="00C4789D">
      <w:pPr>
        <w:spacing w:after="0" w:line="240" w:lineRule="auto"/>
        <w:jc w:val="both"/>
        <w:rPr>
          <w:rFonts w:ascii="Arial" w:hAnsi="Arial" w:cs="Arial"/>
          <w:sz w:val="18"/>
          <w:szCs w:val="18"/>
        </w:rPr>
      </w:pPr>
      <w:r>
        <w:rPr>
          <w:rFonts w:ascii="Arial" w:hAnsi="Arial" w:cs="Arial"/>
          <w:sz w:val="18"/>
          <w:szCs w:val="18"/>
          <w:lang w:val="en-GB"/>
        </w:rPr>
        <w:t>These basic services include:</w:t>
      </w:r>
      <w:r>
        <w:rPr>
          <w:rStyle w:val="Appelnotedebasdep"/>
          <w:rFonts w:ascii="Arial" w:hAnsi="Arial" w:cs="Arial"/>
          <w:sz w:val="18"/>
          <w:szCs w:val="18"/>
          <w:lang w:val="en-GB"/>
        </w:rPr>
        <w:footnoteReference w:id="1"/>
      </w:r>
      <w:r>
        <w:rPr>
          <w:rFonts w:ascii="Arial" w:hAnsi="Arial" w:cs="Arial"/>
          <w:sz w:val="18"/>
          <w:szCs w:val="18"/>
          <w:lang w:val="en-GB"/>
        </w:rPr>
        <w:t xml:space="preserve"> cash deposits and withdrawals, cashing cheques and bank transfers, and issuing payment cards and bank statements.</w:t>
      </w:r>
    </w:p>
    <w:p w14:paraId="6BCB9AE0" w14:textId="77777777" w:rsidR="00752AA7" w:rsidRDefault="00752AA7" w:rsidP="00752AA7">
      <w:pPr>
        <w:spacing w:after="0" w:line="240" w:lineRule="auto"/>
        <w:jc w:val="both"/>
        <w:rPr>
          <w:rFonts w:ascii="Arial" w:hAnsi="Arial" w:cs="Arial"/>
          <w:sz w:val="18"/>
          <w:szCs w:val="18"/>
        </w:rPr>
      </w:pPr>
    </w:p>
    <w:p w14:paraId="7D017184" w14:textId="2920647B" w:rsidR="008E195E" w:rsidRDefault="00C4789D" w:rsidP="00752AA7">
      <w:pPr>
        <w:spacing w:after="0" w:line="240" w:lineRule="auto"/>
        <w:jc w:val="both"/>
        <w:rPr>
          <w:rFonts w:ascii="Arial" w:hAnsi="Arial" w:cs="Arial"/>
          <w:sz w:val="18"/>
          <w:szCs w:val="18"/>
        </w:rPr>
      </w:pPr>
      <w:r>
        <w:rPr>
          <w:rFonts w:ascii="Arial" w:hAnsi="Arial" w:cs="Arial"/>
          <w:sz w:val="18"/>
          <w:szCs w:val="18"/>
          <w:lang w:val="en-GB"/>
        </w:rPr>
        <w:t>However, these regulations are intended to apply only to application</w:t>
      </w:r>
      <w:r w:rsidR="00C94CAC">
        <w:rPr>
          <w:rFonts w:ascii="Arial" w:hAnsi="Arial" w:cs="Arial"/>
          <w:sz w:val="18"/>
          <w:szCs w:val="18"/>
          <w:lang w:val="en-GB"/>
        </w:rPr>
        <w:t>s</w:t>
      </w:r>
      <w:r>
        <w:rPr>
          <w:rFonts w:ascii="Arial" w:hAnsi="Arial" w:cs="Arial"/>
          <w:sz w:val="18"/>
          <w:szCs w:val="18"/>
          <w:lang w:val="en-GB"/>
        </w:rPr>
        <w:t xml:space="preserve"> to open a deposit account, in other words</w:t>
      </w:r>
      <w:r w:rsidR="00C94CAC">
        <w:rPr>
          <w:rFonts w:ascii="Arial" w:hAnsi="Arial" w:cs="Arial"/>
          <w:sz w:val="18"/>
          <w:szCs w:val="18"/>
          <w:lang w:val="en-GB"/>
        </w:rPr>
        <w:t>,</w:t>
      </w:r>
      <w:r>
        <w:rPr>
          <w:rFonts w:ascii="Arial" w:hAnsi="Arial" w:cs="Arial"/>
          <w:sz w:val="18"/>
          <w:szCs w:val="18"/>
          <w:lang w:val="en-GB"/>
        </w:rPr>
        <w:t xml:space="preserve"> </w:t>
      </w:r>
      <w:r w:rsidR="00C94CAC">
        <w:rPr>
          <w:rFonts w:ascii="Arial" w:hAnsi="Arial" w:cs="Arial"/>
          <w:sz w:val="18"/>
          <w:szCs w:val="18"/>
          <w:lang w:val="en-GB"/>
        </w:rPr>
        <w:t xml:space="preserve">to </w:t>
      </w:r>
      <w:r>
        <w:rPr>
          <w:rFonts w:ascii="Arial" w:hAnsi="Arial" w:cs="Arial"/>
          <w:sz w:val="18"/>
          <w:szCs w:val="18"/>
          <w:lang w:val="en-GB"/>
        </w:rPr>
        <w:t>an account allowing the recording of cash transactions that</w:t>
      </w:r>
      <w:r w:rsidR="00C94CAC">
        <w:rPr>
          <w:rFonts w:ascii="Arial" w:hAnsi="Arial" w:cs="Arial"/>
          <w:sz w:val="18"/>
          <w:szCs w:val="18"/>
          <w:lang w:val="en-GB"/>
        </w:rPr>
        <w:t xml:space="preserve"> will</w:t>
      </w:r>
      <w:r>
        <w:rPr>
          <w:rFonts w:ascii="Arial" w:hAnsi="Arial" w:cs="Arial"/>
          <w:sz w:val="18"/>
          <w:szCs w:val="18"/>
          <w:lang w:val="en-GB"/>
        </w:rPr>
        <w:t xml:space="preserve"> increase or decrease the initial deposit. </w:t>
      </w:r>
    </w:p>
    <w:p w14:paraId="3B6CD5C1" w14:textId="77777777" w:rsidR="00EB456E" w:rsidRDefault="00EB456E" w:rsidP="00752AA7">
      <w:pPr>
        <w:spacing w:after="0" w:line="240" w:lineRule="auto"/>
        <w:jc w:val="both"/>
        <w:rPr>
          <w:rFonts w:ascii="Arial" w:hAnsi="Arial" w:cs="Arial"/>
          <w:sz w:val="18"/>
          <w:szCs w:val="18"/>
        </w:rPr>
      </w:pPr>
    </w:p>
    <w:p w14:paraId="5951303E" w14:textId="77777777" w:rsidR="00725BAF" w:rsidRPr="001F0334" w:rsidRDefault="00725BAF" w:rsidP="00752AA7">
      <w:pPr>
        <w:spacing w:after="0" w:line="240" w:lineRule="auto"/>
        <w:jc w:val="both"/>
        <w:rPr>
          <w:rFonts w:ascii="Arial" w:hAnsi="Arial" w:cs="Arial"/>
          <w:b/>
          <w:sz w:val="18"/>
          <w:szCs w:val="18"/>
          <w:u w:val="single"/>
        </w:rPr>
      </w:pPr>
      <w:r>
        <w:rPr>
          <w:rFonts w:ascii="Arial" w:hAnsi="Arial" w:cs="Arial"/>
          <w:b/>
          <w:bCs/>
          <w:sz w:val="18"/>
          <w:szCs w:val="18"/>
          <w:u w:val="single"/>
          <w:lang w:val="en-GB"/>
        </w:rPr>
        <w:t>Recommendation</w:t>
      </w:r>
    </w:p>
    <w:p w14:paraId="1AB4A047" w14:textId="77777777" w:rsidR="00725BAF" w:rsidRDefault="00725BAF" w:rsidP="00752AA7">
      <w:pPr>
        <w:spacing w:after="0" w:line="240" w:lineRule="auto"/>
        <w:jc w:val="both"/>
        <w:rPr>
          <w:rFonts w:ascii="Arial" w:hAnsi="Arial" w:cs="Arial"/>
          <w:sz w:val="18"/>
          <w:szCs w:val="18"/>
        </w:rPr>
      </w:pPr>
    </w:p>
    <w:p w14:paraId="1E7590E6" w14:textId="5F211B02" w:rsidR="0043739D" w:rsidRDefault="00C4789D" w:rsidP="0043739D">
      <w:pPr>
        <w:spacing w:after="0" w:line="240" w:lineRule="auto"/>
        <w:jc w:val="both"/>
        <w:rPr>
          <w:rFonts w:ascii="Arial" w:hAnsi="Arial" w:cs="Arial"/>
          <w:sz w:val="18"/>
          <w:szCs w:val="18"/>
        </w:rPr>
      </w:pPr>
      <w:r>
        <w:rPr>
          <w:rFonts w:ascii="Arial" w:hAnsi="Arial" w:cs="Arial"/>
          <w:sz w:val="18"/>
          <w:szCs w:val="18"/>
          <w:lang w:val="en-GB"/>
        </w:rPr>
        <w:t>Mr D</w:t>
      </w:r>
      <w:r w:rsidR="008D1A57">
        <w:rPr>
          <w:rFonts w:ascii="Arial" w:hAnsi="Arial" w:cs="Arial"/>
          <w:sz w:val="18"/>
          <w:szCs w:val="18"/>
          <w:lang w:val="en-GB"/>
        </w:rPr>
        <w:t>.</w:t>
      </w:r>
      <w:r>
        <w:rPr>
          <w:rFonts w:ascii="Arial" w:hAnsi="Arial" w:cs="Arial"/>
          <w:sz w:val="18"/>
          <w:szCs w:val="18"/>
          <w:lang w:val="en-GB"/>
        </w:rPr>
        <w:t xml:space="preserve"> applied to open a securities account </w:t>
      </w:r>
      <w:r w:rsidR="00C94CAC">
        <w:rPr>
          <w:rFonts w:ascii="Arial" w:hAnsi="Arial" w:cs="Arial"/>
          <w:sz w:val="18"/>
          <w:szCs w:val="18"/>
          <w:lang w:val="en-GB"/>
        </w:rPr>
        <w:t xml:space="preserve">capable of </w:t>
      </w:r>
      <w:r>
        <w:rPr>
          <w:rFonts w:ascii="Arial" w:hAnsi="Arial" w:cs="Arial"/>
          <w:sz w:val="18"/>
          <w:szCs w:val="18"/>
          <w:lang w:val="en-GB"/>
        </w:rPr>
        <w:t>record</w:t>
      </w:r>
      <w:r w:rsidR="00C94CAC">
        <w:rPr>
          <w:rFonts w:ascii="Arial" w:hAnsi="Arial" w:cs="Arial"/>
          <w:sz w:val="18"/>
          <w:szCs w:val="18"/>
          <w:lang w:val="en-GB"/>
        </w:rPr>
        <w:t>ing</w:t>
      </w:r>
      <w:r>
        <w:rPr>
          <w:rFonts w:ascii="Arial" w:hAnsi="Arial" w:cs="Arial"/>
          <w:sz w:val="18"/>
          <w:szCs w:val="18"/>
          <w:lang w:val="en-GB"/>
        </w:rPr>
        <w:t xml:space="preserve"> dematerialised financial instruments</w:t>
      </w:r>
      <w:r w:rsidR="00C94CAC">
        <w:rPr>
          <w:rFonts w:ascii="Arial" w:hAnsi="Arial" w:cs="Arial"/>
          <w:sz w:val="18"/>
          <w:szCs w:val="18"/>
          <w:lang w:val="en-GB"/>
        </w:rPr>
        <w:t xml:space="preserve">, which would </w:t>
      </w:r>
      <w:r>
        <w:rPr>
          <w:rFonts w:ascii="Arial" w:hAnsi="Arial" w:cs="Arial"/>
          <w:sz w:val="18"/>
          <w:szCs w:val="18"/>
          <w:lang w:val="en-GB"/>
        </w:rPr>
        <w:t xml:space="preserve">thus enable stock market transactions to be carried out. </w:t>
      </w:r>
    </w:p>
    <w:p w14:paraId="1F447783" w14:textId="77777777" w:rsidR="0043739D" w:rsidRDefault="00C4789D" w:rsidP="0043739D">
      <w:pPr>
        <w:spacing w:after="0" w:line="240" w:lineRule="auto"/>
        <w:jc w:val="both"/>
        <w:rPr>
          <w:rFonts w:ascii="Arial" w:hAnsi="Arial" w:cs="Arial"/>
          <w:sz w:val="18"/>
          <w:szCs w:val="18"/>
        </w:rPr>
      </w:pPr>
      <w:r>
        <w:rPr>
          <w:rFonts w:ascii="Arial" w:hAnsi="Arial" w:cs="Arial"/>
          <w:sz w:val="18"/>
          <w:szCs w:val="18"/>
          <w:lang w:val="en-GB"/>
        </w:rPr>
        <w:t>However, the opening of an account for such a purpose clearly does not constitute a basic banking service, as defined above.</w:t>
      </w:r>
    </w:p>
    <w:p w14:paraId="24AA73B3" w14:textId="487224A6" w:rsidR="00C47AA7" w:rsidRDefault="00C47AA7" w:rsidP="00752AA7">
      <w:pPr>
        <w:spacing w:after="0" w:line="240" w:lineRule="auto"/>
        <w:jc w:val="both"/>
        <w:rPr>
          <w:rFonts w:ascii="Arial" w:hAnsi="Arial" w:cs="Arial"/>
          <w:sz w:val="18"/>
          <w:szCs w:val="18"/>
        </w:rPr>
      </w:pPr>
    </w:p>
    <w:p w14:paraId="3A257105" w14:textId="7FC27361" w:rsidR="008E195E" w:rsidRDefault="008E195E" w:rsidP="00752AA7">
      <w:pPr>
        <w:spacing w:after="0" w:line="240" w:lineRule="auto"/>
        <w:jc w:val="both"/>
        <w:rPr>
          <w:rFonts w:ascii="Arial" w:hAnsi="Arial" w:cs="Arial"/>
          <w:sz w:val="18"/>
          <w:szCs w:val="18"/>
        </w:rPr>
      </w:pPr>
      <w:r>
        <w:rPr>
          <w:rFonts w:ascii="Arial" w:hAnsi="Arial" w:cs="Arial"/>
          <w:sz w:val="18"/>
          <w:szCs w:val="18"/>
          <w:lang w:val="en-GB"/>
        </w:rPr>
        <w:t>Moreover, as a reminder, the institution’s refusal was based on lack</w:t>
      </w:r>
      <w:r w:rsidR="00C94CAC">
        <w:rPr>
          <w:rFonts w:ascii="Arial" w:hAnsi="Arial" w:cs="Arial"/>
          <w:sz w:val="18"/>
          <w:szCs w:val="18"/>
          <w:lang w:val="en-GB"/>
        </w:rPr>
        <w:t>ing the means</w:t>
      </w:r>
      <w:r>
        <w:rPr>
          <w:rFonts w:ascii="Arial" w:hAnsi="Arial" w:cs="Arial"/>
          <w:sz w:val="18"/>
          <w:szCs w:val="18"/>
          <w:lang w:val="en-GB"/>
        </w:rPr>
        <w:t xml:space="preserve"> to identify the </w:t>
      </w:r>
      <w:r w:rsidR="008D1A57">
        <w:rPr>
          <w:rFonts w:ascii="Arial" w:hAnsi="Arial" w:cs="Arial"/>
          <w:sz w:val="18"/>
          <w:szCs w:val="18"/>
          <w:lang w:val="en-GB"/>
        </w:rPr>
        <w:t>effective beneficiaries in</w:t>
      </w:r>
      <w:r>
        <w:rPr>
          <w:rFonts w:ascii="Arial" w:hAnsi="Arial" w:cs="Arial"/>
          <w:sz w:val="18"/>
          <w:szCs w:val="18"/>
          <w:lang w:val="en-GB"/>
        </w:rPr>
        <w:t xml:space="preserve"> variable capital companies. It </w:t>
      </w:r>
      <w:r w:rsidR="008D1A57">
        <w:rPr>
          <w:rFonts w:ascii="Arial" w:hAnsi="Arial" w:cs="Arial"/>
          <w:sz w:val="18"/>
          <w:szCs w:val="18"/>
          <w:lang w:val="en-GB"/>
        </w:rPr>
        <w:t>should</w:t>
      </w:r>
      <w:r>
        <w:rPr>
          <w:rFonts w:ascii="Arial" w:hAnsi="Arial" w:cs="Arial"/>
          <w:sz w:val="18"/>
          <w:szCs w:val="18"/>
          <w:lang w:val="en-GB"/>
        </w:rPr>
        <w:t xml:space="preserve"> be noted that this bank complied with the AML/CFT (prevention of money laundering and terrorist financing) system provided for in Articles L. 561-2 and following of the Monetary and Financial Code, as amended by Order No. 2016-1635 of 1 December 2016.</w:t>
      </w:r>
      <w:r>
        <w:rPr>
          <w:rStyle w:val="Appelnotedebasdep"/>
          <w:rFonts w:ascii="Arial" w:hAnsi="Arial" w:cs="Arial"/>
          <w:sz w:val="18"/>
          <w:szCs w:val="18"/>
          <w:lang w:val="en-GB"/>
        </w:rPr>
        <w:footnoteReference w:id="2"/>
      </w:r>
    </w:p>
    <w:p w14:paraId="496DA23C" w14:textId="77777777" w:rsidR="002D586D" w:rsidRDefault="002D586D" w:rsidP="00752AA7">
      <w:pPr>
        <w:spacing w:after="0" w:line="240" w:lineRule="auto"/>
        <w:jc w:val="both"/>
        <w:rPr>
          <w:rFonts w:ascii="Arial" w:hAnsi="Arial" w:cs="Arial"/>
          <w:sz w:val="18"/>
          <w:szCs w:val="18"/>
        </w:rPr>
      </w:pPr>
    </w:p>
    <w:p w14:paraId="0DF5B456" w14:textId="0F698BB3" w:rsidR="00BE5562" w:rsidRDefault="004F4F4F" w:rsidP="00752AA7">
      <w:pPr>
        <w:spacing w:after="0" w:line="240" w:lineRule="auto"/>
        <w:jc w:val="both"/>
        <w:rPr>
          <w:rFonts w:ascii="Arial" w:hAnsi="Arial" w:cs="Arial"/>
          <w:sz w:val="18"/>
          <w:szCs w:val="18"/>
        </w:rPr>
      </w:pPr>
      <w:r>
        <w:rPr>
          <w:rFonts w:ascii="Arial" w:hAnsi="Arial" w:cs="Arial"/>
          <w:sz w:val="18"/>
          <w:szCs w:val="18"/>
          <w:lang w:val="en-GB"/>
        </w:rPr>
        <w:lastRenderedPageBreak/>
        <w:t xml:space="preserve">Before entering into a business relationship, credit institutions must verify the identity of their client and, where applicable, the </w:t>
      </w:r>
      <w:r w:rsidR="008D1A57">
        <w:rPr>
          <w:rFonts w:ascii="Arial" w:hAnsi="Arial" w:cs="Arial"/>
          <w:sz w:val="18"/>
          <w:szCs w:val="18"/>
          <w:lang w:val="en-GB"/>
        </w:rPr>
        <w:t>effective beneficiary</w:t>
      </w:r>
      <w:r>
        <w:rPr>
          <w:rFonts w:ascii="Arial" w:hAnsi="Arial" w:cs="Arial"/>
          <w:sz w:val="18"/>
          <w:szCs w:val="18"/>
          <w:lang w:val="en-GB"/>
        </w:rPr>
        <w:t xml:space="preserve"> of the business relationship, in other words, the natural person who ultimately controls the client or for whom a transaction is </w:t>
      </w:r>
      <w:r w:rsidR="008D1A57">
        <w:rPr>
          <w:rFonts w:ascii="Arial" w:hAnsi="Arial" w:cs="Arial"/>
          <w:sz w:val="18"/>
          <w:szCs w:val="18"/>
          <w:lang w:val="en-GB"/>
        </w:rPr>
        <w:t>executed,</w:t>
      </w:r>
      <w:r>
        <w:rPr>
          <w:rFonts w:ascii="Arial" w:hAnsi="Arial" w:cs="Arial"/>
          <w:sz w:val="18"/>
          <w:szCs w:val="18"/>
          <w:lang w:val="en-GB"/>
        </w:rPr>
        <w:t xml:space="preserve"> or an activity is carried out.</w:t>
      </w:r>
    </w:p>
    <w:p w14:paraId="2614073C" w14:textId="77777777" w:rsidR="00C47AA7" w:rsidRDefault="00C47AA7" w:rsidP="00B5726F">
      <w:pPr>
        <w:spacing w:after="0" w:line="240" w:lineRule="auto"/>
        <w:jc w:val="both"/>
        <w:rPr>
          <w:rFonts w:ascii="Arial" w:hAnsi="Arial" w:cs="Arial"/>
          <w:sz w:val="18"/>
          <w:szCs w:val="18"/>
        </w:rPr>
      </w:pPr>
    </w:p>
    <w:p w14:paraId="696640EA" w14:textId="2D16CE61" w:rsidR="00B5726F" w:rsidRDefault="00C47AA7" w:rsidP="00B5726F">
      <w:pPr>
        <w:spacing w:after="0" w:line="240" w:lineRule="auto"/>
        <w:jc w:val="both"/>
        <w:rPr>
          <w:rFonts w:ascii="Arial" w:hAnsi="Arial" w:cs="Arial"/>
          <w:sz w:val="18"/>
          <w:szCs w:val="18"/>
        </w:rPr>
      </w:pPr>
      <w:r>
        <w:rPr>
          <w:rFonts w:ascii="Arial" w:hAnsi="Arial" w:cs="Arial"/>
          <w:sz w:val="18"/>
          <w:szCs w:val="18"/>
          <w:lang w:val="en-GB"/>
        </w:rPr>
        <w:t>In view of all these elements, I informed Mr D</w:t>
      </w:r>
      <w:r w:rsidR="008D1A57">
        <w:rPr>
          <w:rFonts w:ascii="Arial" w:hAnsi="Arial" w:cs="Arial"/>
          <w:sz w:val="18"/>
          <w:szCs w:val="18"/>
          <w:lang w:val="en-GB"/>
        </w:rPr>
        <w:t>.</w:t>
      </w:r>
      <w:r>
        <w:rPr>
          <w:rFonts w:ascii="Arial" w:hAnsi="Arial" w:cs="Arial"/>
          <w:sz w:val="18"/>
          <w:szCs w:val="18"/>
          <w:lang w:val="en-GB"/>
        </w:rPr>
        <w:t xml:space="preserve"> that I had no </w:t>
      </w:r>
      <w:r w:rsidR="008D1A57">
        <w:rPr>
          <w:rFonts w:ascii="Arial" w:hAnsi="Arial" w:cs="Arial"/>
          <w:sz w:val="18"/>
          <w:szCs w:val="18"/>
          <w:lang w:val="en-GB"/>
        </w:rPr>
        <w:t>power to take</w:t>
      </w:r>
      <w:r>
        <w:rPr>
          <w:rFonts w:ascii="Arial" w:hAnsi="Arial" w:cs="Arial"/>
          <w:sz w:val="18"/>
          <w:szCs w:val="18"/>
          <w:lang w:val="en-GB"/>
        </w:rPr>
        <w:t xml:space="preserve"> further action with the institution.</w:t>
      </w:r>
    </w:p>
    <w:p w14:paraId="12D55316" w14:textId="77777777" w:rsidR="00B5726F" w:rsidRDefault="00B5726F" w:rsidP="00B5726F">
      <w:pPr>
        <w:spacing w:after="0" w:line="240" w:lineRule="auto"/>
        <w:jc w:val="both"/>
        <w:rPr>
          <w:rFonts w:ascii="Arial" w:hAnsi="Arial" w:cs="Arial"/>
          <w:sz w:val="18"/>
          <w:szCs w:val="18"/>
        </w:rPr>
      </w:pPr>
    </w:p>
    <w:p w14:paraId="1CE1330F" w14:textId="56CDC96D" w:rsidR="00F95F7A" w:rsidRPr="001F0334" w:rsidRDefault="00AF468F" w:rsidP="0030374E">
      <w:pPr>
        <w:spacing w:after="0" w:line="240" w:lineRule="auto"/>
        <w:rPr>
          <w:rFonts w:ascii="Arial" w:hAnsi="Arial" w:cs="Arial"/>
          <w:b/>
          <w:sz w:val="18"/>
          <w:szCs w:val="18"/>
          <w:u w:val="single"/>
        </w:rPr>
      </w:pPr>
      <w:r>
        <w:rPr>
          <w:rFonts w:ascii="Arial" w:hAnsi="Arial" w:cs="Arial"/>
          <w:b/>
          <w:bCs/>
          <w:sz w:val="18"/>
          <w:szCs w:val="18"/>
          <w:u w:val="single"/>
          <w:lang w:val="en-GB"/>
        </w:rPr>
        <w:t xml:space="preserve">Lesson to </w:t>
      </w:r>
      <w:r w:rsidR="008D1A57">
        <w:rPr>
          <w:rFonts w:ascii="Arial" w:hAnsi="Arial" w:cs="Arial"/>
          <w:b/>
          <w:bCs/>
          <w:sz w:val="18"/>
          <w:szCs w:val="18"/>
          <w:u w:val="single"/>
          <w:lang w:val="en-GB"/>
        </w:rPr>
        <w:t>be l</w:t>
      </w:r>
      <w:r>
        <w:rPr>
          <w:rFonts w:ascii="Arial" w:hAnsi="Arial" w:cs="Arial"/>
          <w:b/>
          <w:bCs/>
          <w:sz w:val="18"/>
          <w:szCs w:val="18"/>
          <w:u w:val="single"/>
          <w:lang w:val="en-GB"/>
        </w:rPr>
        <w:t xml:space="preserve">earned </w:t>
      </w:r>
    </w:p>
    <w:p w14:paraId="0670858B" w14:textId="77777777" w:rsidR="00AF468F" w:rsidRDefault="00AF468F" w:rsidP="0030374E">
      <w:pPr>
        <w:spacing w:after="0" w:line="240" w:lineRule="auto"/>
        <w:rPr>
          <w:rFonts w:ascii="Arial" w:hAnsi="Arial" w:cs="Arial"/>
          <w:sz w:val="18"/>
          <w:szCs w:val="18"/>
        </w:rPr>
      </w:pPr>
    </w:p>
    <w:p w14:paraId="25BFD6BA" w14:textId="66E4B6CC" w:rsidR="00B97CED" w:rsidRDefault="0043739D" w:rsidP="000D19FA">
      <w:pPr>
        <w:spacing w:after="0" w:line="240" w:lineRule="auto"/>
        <w:jc w:val="both"/>
        <w:rPr>
          <w:rFonts w:ascii="Arial" w:hAnsi="Arial" w:cs="Arial"/>
          <w:sz w:val="18"/>
          <w:szCs w:val="18"/>
        </w:rPr>
      </w:pPr>
      <w:r>
        <w:rPr>
          <w:rFonts w:ascii="Arial" w:hAnsi="Arial" w:cs="Arial"/>
          <w:sz w:val="18"/>
          <w:szCs w:val="18"/>
          <w:lang w:val="en-GB"/>
        </w:rPr>
        <w:t xml:space="preserve">There is no right to a securities account. A retail investor </w:t>
      </w:r>
      <w:r w:rsidR="008D1A57">
        <w:rPr>
          <w:rFonts w:ascii="Arial" w:hAnsi="Arial" w:cs="Arial"/>
          <w:sz w:val="18"/>
          <w:szCs w:val="18"/>
          <w:lang w:val="en-GB"/>
        </w:rPr>
        <w:t>cannot</w:t>
      </w:r>
      <w:r>
        <w:rPr>
          <w:rFonts w:ascii="Arial" w:hAnsi="Arial" w:cs="Arial"/>
          <w:sz w:val="18"/>
          <w:szCs w:val="18"/>
          <w:lang w:val="en-GB"/>
        </w:rPr>
        <w:t xml:space="preserve"> therefore legitimately require his/her bank to open such an account since the right to open an account applies only to the basic banking services </w:t>
      </w:r>
      <w:r w:rsidR="008D1A57">
        <w:rPr>
          <w:rFonts w:ascii="Arial" w:hAnsi="Arial" w:cs="Arial"/>
          <w:sz w:val="18"/>
          <w:szCs w:val="18"/>
          <w:lang w:val="en-GB"/>
        </w:rPr>
        <w:t>associated with</w:t>
      </w:r>
      <w:r>
        <w:rPr>
          <w:rFonts w:ascii="Arial" w:hAnsi="Arial" w:cs="Arial"/>
          <w:sz w:val="18"/>
          <w:szCs w:val="18"/>
          <w:lang w:val="en-GB"/>
        </w:rPr>
        <w:t xml:space="preserve"> a deposit account.</w:t>
      </w:r>
    </w:p>
    <w:p w14:paraId="4B9D5E02" w14:textId="77777777" w:rsidR="008E195E" w:rsidRDefault="008E195E" w:rsidP="00B97CED">
      <w:pPr>
        <w:spacing w:after="0" w:line="240" w:lineRule="auto"/>
        <w:jc w:val="both"/>
        <w:rPr>
          <w:rFonts w:ascii="Arial" w:hAnsi="Arial" w:cs="Arial"/>
          <w:sz w:val="18"/>
          <w:szCs w:val="18"/>
        </w:rPr>
      </w:pPr>
    </w:p>
    <w:p w14:paraId="6F2C54A8" w14:textId="218D874D" w:rsidR="00F95F7A" w:rsidRDefault="000D19FA" w:rsidP="00B97CED">
      <w:pPr>
        <w:spacing w:after="0" w:line="240" w:lineRule="auto"/>
        <w:jc w:val="both"/>
        <w:rPr>
          <w:rFonts w:ascii="Arial" w:hAnsi="Arial" w:cs="Arial"/>
          <w:sz w:val="18"/>
          <w:szCs w:val="18"/>
        </w:rPr>
      </w:pPr>
      <w:r>
        <w:rPr>
          <w:rFonts w:ascii="Arial" w:hAnsi="Arial" w:cs="Arial"/>
          <w:sz w:val="18"/>
          <w:szCs w:val="18"/>
          <w:lang w:val="en-GB"/>
        </w:rPr>
        <w:t>Therefore, in such a case, the bank</w:t>
      </w:r>
      <w:r w:rsidR="008D1A57">
        <w:rPr>
          <w:rFonts w:ascii="Arial" w:hAnsi="Arial" w:cs="Arial"/>
          <w:sz w:val="18"/>
          <w:szCs w:val="18"/>
          <w:lang w:val="en-GB"/>
        </w:rPr>
        <w:t xml:space="preserve"> cannot be reproached for refusing</w:t>
      </w:r>
      <w:r>
        <w:rPr>
          <w:rFonts w:ascii="Arial" w:hAnsi="Arial" w:cs="Arial"/>
          <w:sz w:val="18"/>
          <w:szCs w:val="18"/>
          <w:lang w:val="en-GB"/>
        </w:rPr>
        <w:t>.</w:t>
      </w:r>
    </w:p>
    <w:p w14:paraId="12B89A62" w14:textId="77777777" w:rsidR="008E195E" w:rsidRDefault="008E195E" w:rsidP="00B97CED">
      <w:pPr>
        <w:spacing w:after="0" w:line="240" w:lineRule="auto"/>
        <w:jc w:val="both"/>
        <w:rPr>
          <w:rFonts w:ascii="Arial" w:hAnsi="Arial" w:cs="Arial"/>
          <w:sz w:val="18"/>
          <w:szCs w:val="18"/>
        </w:rPr>
      </w:pPr>
    </w:p>
    <w:p w14:paraId="4F076410" w14:textId="77777777" w:rsidR="008E195E" w:rsidRPr="005D2E4E" w:rsidRDefault="008E195E" w:rsidP="00B97CED">
      <w:pPr>
        <w:spacing w:after="0" w:line="240" w:lineRule="auto"/>
        <w:jc w:val="both"/>
        <w:rPr>
          <w:rFonts w:ascii="Arial" w:hAnsi="Arial" w:cs="Arial"/>
          <w:sz w:val="18"/>
          <w:szCs w:val="18"/>
        </w:rPr>
      </w:pPr>
    </w:p>
    <w:sectPr w:rsidR="008E195E" w:rsidRPr="005D2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87C7B" w14:textId="77777777" w:rsidR="00981CCD" w:rsidRDefault="00981CCD" w:rsidP="00975B58">
      <w:pPr>
        <w:spacing w:after="0" w:line="240" w:lineRule="auto"/>
      </w:pPr>
      <w:r>
        <w:separator/>
      </w:r>
    </w:p>
  </w:endnote>
  <w:endnote w:type="continuationSeparator" w:id="0">
    <w:p w14:paraId="5B03A66A" w14:textId="77777777" w:rsidR="00981CCD" w:rsidRDefault="00981CCD" w:rsidP="0097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D635" w14:textId="77777777" w:rsidR="00981CCD" w:rsidRDefault="00981CCD" w:rsidP="00975B58">
      <w:pPr>
        <w:spacing w:after="0" w:line="240" w:lineRule="auto"/>
      </w:pPr>
      <w:r>
        <w:separator/>
      </w:r>
    </w:p>
  </w:footnote>
  <w:footnote w:type="continuationSeparator" w:id="0">
    <w:p w14:paraId="3620E1A0" w14:textId="77777777" w:rsidR="00981CCD" w:rsidRDefault="00981CCD" w:rsidP="00975B58">
      <w:pPr>
        <w:spacing w:after="0" w:line="240" w:lineRule="auto"/>
      </w:pPr>
      <w:r>
        <w:continuationSeparator/>
      </w:r>
    </w:p>
  </w:footnote>
  <w:footnote w:id="1">
    <w:p w14:paraId="2C679524" w14:textId="142B6355" w:rsidR="00C4789D" w:rsidRPr="00C4789D" w:rsidRDefault="00C4789D">
      <w:pPr>
        <w:pStyle w:val="Notedebasdepage"/>
        <w:rPr>
          <w:sz w:val="18"/>
        </w:rPr>
      </w:pPr>
      <w:r>
        <w:rPr>
          <w:rStyle w:val="Appelnotedebasdep"/>
          <w:sz w:val="18"/>
          <w:lang w:val="en-GB"/>
        </w:rPr>
        <w:footnoteRef/>
      </w:r>
      <w:r>
        <w:rPr>
          <w:sz w:val="18"/>
          <w:lang w:val="en-GB"/>
        </w:rPr>
        <w:t xml:space="preserve"> Article D. 312-5 of the Monetary and Financial Code</w:t>
      </w:r>
      <w:r w:rsidR="00433632">
        <w:rPr>
          <w:sz w:val="18"/>
          <w:lang w:val="en-GB"/>
        </w:rPr>
        <w:t>.</w:t>
      </w:r>
    </w:p>
  </w:footnote>
  <w:footnote w:id="2">
    <w:p w14:paraId="1CD14C97" w14:textId="1E30A4EC" w:rsidR="00975B58" w:rsidRPr="003C3728" w:rsidRDefault="00975B58" w:rsidP="00975B58">
      <w:pPr>
        <w:pStyle w:val="Notedebasdepage"/>
        <w:rPr>
          <w:rStyle w:val="Appelnotedebasdep"/>
          <w:sz w:val="18"/>
        </w:rPr>
      </w:pPr>
      <w:r>
        <w:rPr>
          <w:rStyle w:val="Appelnotedebasdep"/>
          <w:sz w:val="18"/>
          <w:lang w:val="en-GB"/>
        </w:rPr>
        <w:footnoteRef/>
      </w:r>
      <w:r>
        <w:rPr>
          <w:rStyle w:val="Appelnotedebasdep"/>
          <w:sz w:val="18"/>
          <w:vertAlign w:val="baseline"/>
          <w:lang w:val="en-GB"/>
        </w:rPr>
        <w:t xml:space="preserve"> </w:t>
      </w:r>
      <w:r>
        <w:rPr>
          <w:rStyle w:val="Appelnotedebasdep"/>
          <w:sz w:val="18"/>
          <w:lang w:val="en-GB"/>
        </w:rPr>
        <w:t>In this case, the institution was t</w:t>
      </w:r>
      <w:r w:rsidR="008D1A57">
        <w:rPr>
          <w:rStyle w:val="Appelnotedebasdep"/>
          <w:sz w:val="18"/>
          <w:lang w:val="en-GB"/>
        </w:rPr>
        <w:t>hereby</w:t>
      </w:r>
      <w:r>
        <w:rPr>
          <w:rStyle w:val="Appelnotedebasdep"/>
          <w:sz w:val="18"/>
          <w:lang w:val="en-GB"/>
        </w:rPr>
        <w:t xml:space="preserve"> demonstrating the vigilance required to open a securities account, </w:t>
      </w:r>
      <w:r w:rsidR="008D1A57">
        <w:rPr>
          <w:rStyle w:val="Appelnotedebasdep"/>
          <w:sz w:val="18"/>
          <w:lang w:val="en-GB"/>
        </w:rPr>
        <w:t>pursuant to</w:t>
      </w:r>
      <w:r>
        <w:rPr>
          <w:rStyle w:val="Appelnotedebasdep"/>
          <w:sz w:val="18"/>
          <w:lang w:val="en-GB"/>
        </w:rPr>
        <w:t xml:space="preserve"> Order No. 2016-1635 of 1 December 2016, transposing Directive (EU) 2015/849 of 20 May 2015, known as the Fourth Anti-Money Laundering Directive. </w:t>
      </w:r>
    </w:p>
    <w:p w14:paraId="2473ED69" w14:textId="77777777" w:rsidR="00975B58" w:rsidRPr="003C3728" w:rsidRDefault="00975B58" w:rsidP="00975B58">
      <w:pPr>
        <w:pStyle w:val="Notedebasdepage"/>
        <w:rPr>
          <w:rStyle w:val="Appelnotedebasdep"/>
          <w:sz w:val="18"/>
        </w:rPr>
      </w:pPr>
    </w:p>
    <w:p w14:paraId="0E67A399" w14:textId="77777777" w:rsidR="00975B58" w:rsidRDefault="00975B58" w:rsidP="00975B58">
      <w:pPr>
        <w:pStyle w:val="Notedebasdepage"/>
      </w:pPr>
      <w:r>
        <w:rPr>
          <w:rStyle w:val="Appelnotedebasdep"/>
          <w:sz w:val="18"/>
          <w:lang w:val="en-GB"/>
        </w:rPr>
        <w:t>For information, the Fifth Anti-Money Laundering Directive (Directive (EU) 2018/843 of 30 May 2018), published in the Official Journal of the European Union on 19 June 2018 but not yet transposed in France, has extended the scope of the Fourth Directive.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50BA0"/>
    <w:multiLevelType w:val="hybridMultilevel"/>
    <w:tmpl w:val="0D060FF6"/>
    <w:lvl w:ilvl="0" w:tplc="24D41A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60"/>
    <w:rsid w:val="00001640"/>
    <w:rsid w:val="00030365"/>
    <w:rsid w:val="00083630"/>
    <w:rsid w:val="000B699F"/>
    <w:rsid w:val="000D19FA"/>
    <w:rsid w:val="000E2A54"/>
    <w:rsid w:val="00123ABF"/>
    <w:rsid w:val="00127A40"/>
    <w:rsid w:val="00185008"/>
    <w:rsid w:val="00187861"/>
    <w:rsid w:val="001E4767"/>
    <w:rsid w:val="001F0334"/>
    <w:rsid w:val="001F56E2"/>
    <w:rsid w:val="00240A23"/>
    <w:rsid w:val="002D586D"/>
    <w:rsid w:val="0030374E"/>
    <w:rsid w:val="00325D71"/>
    <w:rsid w:val="003C3728"/>
    <w:rsid w:val="003D297C"/>
    <w:rsid w:val="00433632"/>
    <w:rsid w:val="00433EC4"/>
    <w:rsid w:val="0043739D"/>
    <w:rsid w:val="004D626B"/>
    <w:rsid w:val="004D7C6A"/>
    <w:rsid w:val="004E666E"/>
    <w:rsid w:val="004F4F4F"/>
    <w:rsid w:val="005572E3"/>
    <w:rsid w:val="005D2E4E"/>
    <w:rsid w:val="006306C5"/>
    <w:rsid w:val="006707DB"/>
    <w:rsid w:val="00672631"/>
    <w:rsid w:val="006A0ED7"/>
    <w:rsid w:val="006B477D"/>
    <w:rsid w:val="006E31E6"/>
    <w:rsid w:val="00707A78"/>
    <w:rsid w:val="00725BAF"/>
    <w:rsid w:val="00737D60"/>
    <w:rsid w:val="00752AA7"/>
    <w:rsid w:val="007A36CF"/>
    <w:rsid w:val="007C5B25"/>
    <w:rsid w:val="007D7AC8"/>
    <w:rsid w:val="007E62A5"/>
    <w:rsid w:val="007F2DE5"/>
    <w:rsid w:val="008B3666"/>
    <w:rsid w:val="008C07D5"/>
    <w:rsid w:val="008D1A57"/>
    <w:rsid w:val="008E195E"/>
    <w:rsid w:val="008F1E5A"/>
    <w:rsid w:val="00950B4D"/>
    <w:rsid w:val="00975B58"/>
    <w:rsid w:val="00981CCD"/>
    <w:rsid w:val="00992D42"/>
    <w:rsid w:val="009C1CBB"/>
    <w:rsid w:val="00A012EA"/>
    <w:rsid w:val="00A40660"/>
    <w:rsid w:val="00A643AC"/>
    <w:rsid w:val="00A651F1"/>
    <w:rsid w:val="00A912DA"/>
    <w:rsid w:val="00AC0C58"/>
    <w:rsid w:val="00AF468F"/>
    <w:rsid w:val="00B169FE"/>
    <w:rsid w:val="00B5726F"/>
    <w:rsid w:val="00B63F3A"/>
    <w:rsid w:val="00B97CED"/>
    <w:rsid w:val="00BA04CF"/>
    <w:rsid w:val="00BE5562"/>
    <w:rsid w:val="00C070E0"/>
    <w:rsid w:val="00C23E9E"/>
    <w:rsid w:val="00C4789D"/>
    <w:rsid w:val="00C47AA7"/>
    <w:rsid w:val="00C94CAC"/>
    <w:rsid w:val="00CF6351"/>
    <w:rsid w:val="00E9394E"/>
    <w:rsid w:val="00EB456E"/>
    <w:rsid w:val="00EF7323"/>
    <w:rsid w:val="00F07424"/>
    <w:rsid w:val="00F34A21"/>
    <w:rsid w:val="00F50B8C"/>
    <w:rsid w:val="00F575FF"/>
    <w:rsid w:val="00F95F7A"/>
    <w:rsid w:val="00FB4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323"/>
    <w:pPr>
      <w:ind w:left="720"/>
      <w:contextualSpacing/>
    </w:pPr>
  </w:style>
  <w:style w:type="paragraph" w:styleId="Notedebasdepage">
    <w:name w:val="footnote text"/>
    <w:basedOn w:val="Normal"/>
    <w:link w:val="NotedebasdepageCar"/>
    <w:uiPriority w:val="99"/>
    <w:semiHidden/>
    <w:unhideWhenUsed/>
    <w:rsid w:val="00975B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B58"/>
    <w:rPr>
      <w:sz w:val="20"/>
      <w:szCs w:val="20"/>
    </w:rPr>
  </w:style>
  <w:style w:type="character" w:styleId="Appelnotedebasdep">
    <w:name w:val="footnote reference"/>
    <w:basedOn w:val="Policepardfaut"/>
    <w:uiPriority w:val="99"/>
    <w:semiHidden/>
    <w:unhideWhenUsed/>
    <w:rsid w:val="00975B58"/>
    <w:rPr>
      <w:vertAlign w:val="superscript"/>
    </w:rPr>
  </w:style>
  <w:style w:type="paragraph" w:styleId="Textedebulles">
    <w:name w:val="Balloon Text"/>
    <w:basedOn w:val="Normal"/>
    <w:link w:val="TextedebullesCar"/>
    <w:uiPriority w:val="99"/>
    <w:semiHidden/>
    <w:unhideWhenUsed/>
    <w:rsid w:val="00975B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323"/>
    <w:pPr>
      <w:ind w:left="720"/>
      <w:contextualSpacing/>
    </w:pPr>
  </w:style>
  <w:style w:type="paragraph" w:styleId="Notedebasdepage">
    <w:name w:val="footnote text"/>
    <w:basedOn w:val="Normal"/>
    <w:link w:val="NotedebasdepageCar"/>
    <w:uiPriority w:val="99"/>
    <w:semiHidden/>
    <w:unhideWhenUsed/>
    <w:rsid w:val="00975B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B58"/>
    <w:rPr>
      <w:sz w:val="20"/>
      <w:szCs w:val="20"/>
    </w:rPr>
  </w:style>
  <w:style w:type="character" w:styleId="Appelnotedebasdep">
    <w:name w:val="footnote reference"/>
    <w:basedOn w:val="Policepardfaut"/>
    <w:uiPriority w:val="99"/>
    <w:semiHidden/>
    <w:unhideWhenUsed/>
    <w:rsid w:val="00975B58"/>
    <w:rPr>
      <w:vertAlign w:val="superscript"/>
    </w:rPr>
  </w:style>
  <w:style w:type="paragraph" w:styleId="Textedebulles">
    <w:name w:val="Balloon Text"/>
    <w:basedOn w:val="Normal"/>
    <w:link w:val="TextedebullesCar"/>
    <w:uiPriority w:val="99"/>
    <w:semiHidden/>
    <w:unhideWhenUsed/>
    <w:rsid w:val="00975B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655C-4BDE-4F3B-BF43-42C53A89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3727</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AMF</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SENKUR Eloise (Stagiaire)</dc:creator>
  <cp:lastModifiedBy>FLOBERT Lysiane</cp:lastModifiedBy>
  <cp:revision>2</cp:revision>
  <cp:lastPrinted>2019-01-28T14:02:00Z</cp:lastPrinted>
  <dcterms:created xsi:type="dcterms:W3CDTF">2019-05-09T09:16:00Z</dcterms:created>
  <dcterms:modified xsi:type="dcterms:W3CDTF">2019-05-09T09:16:00Z</dcterms:modified>
</cp:coreProperties>
</file>