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631111" w:rsidRDefault="00631111" w:rsidP="00061209">
      <w:pPr>
        <w:pStyle w:val="AMFTitre"/>
        <w:ind w:left="0"/>
        <w:rPr>
          <w:sz w:val="24"/>
          <w:szCs w:val="24"/>
        </w:rPr>
      </w:pPr>
      <w:r w:rsidRPr="00631111">
        <w:rPr>
          <w:iCs/>
          <w:sz w:val="24"/>
          <w:szCs w:val="24"/>
        </w:rPr>
        <w:t>Cadre de référence concernant l'engagement signé par la société de gestion</w:t>
      </w:r>
      <w:r w:rsidRPr="00631111">
        <w:rPr>
          <w:sz w:val="24"/>
          <w:szCs w:val="24"/>
        </w:rPr>
        <w:t xml:space="preserve"> </w:t>
      </w:r>
      <w:r w:rsidR="00E1204F" w:rsidRPr="00631111">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p w:rsidR="00684FDF" w:rsidRDefault="00631111" w:rsidP="00631111">
      <w:pPr>
        <w:pStyle w:val="AMFDate"/>
        <w:ind w:left="0"/>
        <w:jc w:val="both"/>
        <w:rPr>
          <w:rFonts w:asciiTheme="minorHAnsi" w:hAnsiTheme="minorHAnsi" w:cstheme="minorHAnsi"/>
        </w:rPr>
      </w:pPr>
      <w:r w:rsidRPr="00631111">
        <w:rPr>
          <w:rFonts w:asciiTheme="minorHAnsi" w:hAnsiTheme="minorHAnsi" w:cstheme="minorHAnsi"/>
          <w:iCs/>
        </w:rPr>
        <w:t xml:space="preserve">Ce document constitue l’annexe II bis de l’instruction AMF </w:t>
      </w:r>
      <w:r w:rsidRPr="00631111">
        <w:rPr>
          <w:rFonts w:asciiTheme="minorHAnsi" w:hAnsiTheme="minorHAnsi" w:cstheme="minorHAnsi"/>
        </w:rPr>
        <w:t>- Procédures d’agrément, établissement d’un DICI</w:t>
      </w:r>
      <w:r w:rsidRPr="00631111">
        <w:rPr>
          <w:rFonts w:asciiTheme="minorHAnsi" w:hAnsiTheme="minorHAnsi" w:cstheme="minorHAnsi"/>
          <w:vertAlign w:val="superscript"/>
        </w:rPr>
        <w:footnoteReference w:id="1"/>
      </w:r>
      <w:r w:rsidRPr="00631111">
        <w:rPr>
          <w:rFonts w:asciiTheme="minorHAnsi" w:hAnsiTheme="minorHAnsi" w:cstheme="minorHAnsi"/>
        </w:rPr>
        <w:t xml:space="preserve"> et d’un règlement et information périodique des fonds de capital investissement – DOC-2011-22.</w:t>
      </w:r>
    </w:p>
    <w:p w:rsidR="00684FDF" w:rsidRDefault="00684FDF" w:rsidP="00684FDF">
      <w:pPr>
        <w:pStyle w:val="AMFDate"/>
        <w:ind w:left="0"/>
        <w:jc w:val="left"/>
        <w:rPr>
          <w:rFonts w:asciiTheme="minorHAnsi" w:hAnsiTheme="minorHAnsi" w:cstheme="minorHAnsi"/>
        </w:rPr>
      </w:pPr>
    </w:p>
    <w:p w:rsidR="00631111" w:rsidRDefault="00631111" w:rsidP="00631111">
      <w:pPr>
        <w:jc w:val="both"/>
        <w:rPr>
          <w:rFonts w:asciiTheme="minorHAnsi" w:hAnsiTheme="minorHAnsi" w:cstheme="minorHAnsi"/>
          <w:sz w:val="20"/>
          <w:szCs w:val="20"/>
        </w:rPr>
      </w:pPr>
      <w:bookmarkStart w:id="0" w:name="_Toc304222631"/>
      <w:bookmarkStart w:id="1" w:name="_Toc304222720"/>
      <w:bookmarkStart w:id="2" w:name="_Toc304222793"/>
      <w:bookmarkStart w:id="3" w:name="_Toc306614028"/>
      <w:bookmarkStart w:id="4" w:name="_Toc327871064"/>
    </w:p>
    <w:p w:rsidR="00631111" w:rsidRDefault="00631111" w:rsidP="00631111">
      <w:pPr>
        <w:jc w:val="both"/>
        <w:rPr>
          <w:rFonts w:asciiTheme="minorHAnsi" w:hAnsiTheme="minorHAnsi" w:cstheme="minorHAnsi"/>
          <w:sz w:val="20"/>
          <w:szCs w:val="20"/>
        </w:rPr>
      </w:pPr>
      <w:r w:rsidRPr="00631111">
        <w:rPr>
          <w:rFonts w:asciiTheme="minorHAnsi" w:hAnsiTheme="minorHAnsi" w:cstheme="minorHAnsi"/>
          <w:sz w:val="20"/>
          <w:szCs w:val="20"/>
        </w:rPr>
        <w:t>Conformément à la réglementation, une société de gestion dispose d'une organisation, de moyens et de procédures adaptés au périmètre de ses activités. Cette exigence s'applique notamment au processus de création des FCPR. Il doit permettre à la société de gestion d'identifier tout risque de création d'un FCPR qui ne présenterait pas les caractéristiques de conformité à la réglementation qui lui est applicable.</w:t>
      </w:r>
      <w:bookmarkEnd w:id="0"/>
      <w:bookmarkEnd w:id="1"/>
      <w:bookmarkEnd w:id="2"/>
      <w:bookmarkEnd w:id="3"/>
      <w:bookmarkEnd w:id="4"/>
    </w:p>
    <w:p w:rsidR="00631111" w:rsidRPr="00631111" w:rsidRDefault="00631111" w:rsidP="00631111">
      <w:pPr>
        <w:jc w:val="both"/>
        <w:rPr>
          <w:rFonts w:asciiTheme="minorHAnsi" w:hAnsiTheme="minorHAnsi" w:cstheme="minorHAnsi"/>
          <w:sz w:val="20"/>
          <w:szCs w:val="20"/>
        </w:rPr>
      </w:pPr>
    </w:p>
    <w:p w:rsidR="00922AD8" w:rsidRPr="00631111" w:rsidRDefault="00631111" w:rsidP="00631111">
      <w:pPr>
        <w:jc w:val="both"/>
        <w:rPr>
          <w:rFonts w:asciiTheme="minorHAnsi" w:hAnsiTheme="minorHAnsi" w:cstheme="minorHAnsi"/>
          <w:sz w:val="20"/>
          <w:szCs w:val="20"/>
        </w:rPr>
      </w:pPr>
      <w:r w:rsidRPr="00631111">
        <w:rPr>
          <w:rFonts w:asciiTheme="minorHAnsi" w:hAnsiTheme="minorHAnsi" w:cstheme="minorHAnsi"/>
          <w:sz w:val="20"/>
          <w:szCs w:val="20"/>
        </w:rPr>
        <w:t>L'AMF n'entend pas être prescriptive dans l'organisation, les moyens et les procédures à mettre en place à cet effet. Elle apprécie l'efficacité de ces différents éléments au regard, d'une part, du résultat obtenu (FCPR créés conformes à la réglementation), et d'autre part, de la capacité de la société de gestion à justifier de l'existence et du respect des procédures mises en place. Les éléments suivants peuvent néanmoins orienter utilement les sociétés de gestion de portefeuille pour évaluer la qualité de leur dispositif :</w:t>
      </w:r>
    </w:p>
    <w:p w:rsidR="00922AD8" w:rsidRPr="00631111" w:rsidRDefault="00922AD8" w:rsidP="00631111">
      <w:pPr>
        <w:jc w:val="both"/>
        <w:rPr>
          <w:rFonts w:asciiTheme="minorHAnsi" w:hAnsiTheme="minorHAnsi" w:cstheme="minorHAnsi"/>
          <w:sz w:val="20"/>
          <w:szCs w:val="20"/>
        </w:rPr>
      </w:pPr>
    </w:p>
    <w:p w:rsidR="00631111" w:rsidRDefault="00631111" w:rsidP="00631111">
      <w:pPr>
        <w:pStyle w:val="AMFPucegrise"/>
        <w:spacing w:before="0"/>
        <w:ind w:left="284"/>
        <w:rPr>
          <w:b w:val="0"/>
        </w:rPr>
      </w:pPr>
      <w:r w:rsidRPr="00631111">
        <w:rPr>
          <w:b w:val="0"/>
        </w:rPr>
        <w:t>La société de gestion dispose d'une organisation de moyens et de procédures permettant de garantir, avec un niveau de confiance adapté à la nature de l'activité exercée, que les FCPR créés sont conformes à la réglementation ;</w:t>
      </w:r>
    </w:p>
    <w:p w:rsidR="00631111" w:rsidRPr="00631111" w:rsidRDefault="00631111" w:rsidP="00631111">
      <w:pPr>
        <w:pStyle w:val="AMFPucegrise"/>
        <w:numPr>
          <w:ilvl w:val="0"/>
          <w:numId w:val="0"/>
        </w:numPr>
        <w:spacing w:before="0"/>
        <w:ind w:left="284"/>
        <w:rPr>
          <w:b w:val="0"/>
        </w:rPr>
      </w:pPr>
    </w:p>
    <w:p w:rsidR="00631111" w:rsidRDefault="00631111" w:rsidP="00631111">
      <w:pPr>
        <w:pStyle w:val="AMFPucegrise"/>
        <w:spacing w:before="0"/>
        <w:ind w:left="284" w:hanging="284"/>
        <w:rPr>
          <w:rFonts w:asciiTheme="minorHAnsi" w:hAnsiTheme="minorHAnsi" w:cstheme="minorHAnsi"/>
          <w:b w:val="0"/>
        </w:rPr>
      </w:pPr>
      <w:r w:rsidRPr="00631111">
        <w:rPr>
          <w:rFonts w:asciiTheme="minorHAnsi" w:hAnsiTheme="minorHAnsi" w:cstheme="minorHAnsi"/>
          <w:b w:val="0"/>
        </w:rPr>
        <w:t xml:space="preserve">Cette </w:t>
      </w:r>
      <w:r w:rsidRPr="00631111">
        <w:rPr>
          <w:b w:val="0"/>
        </w:rPr>
        <w:t>conformité</w:t>
      </w:r>
      <w:r w:rsidRPr="00631111">
        <w:rPr>
          <w:rFonts w:asciiTheme="minorHAnsi" w:hAnsiTheme="minorHAnsi" w:cstheme="minorHAnsi"/>
          <w:b w:val="0"/>
        </w:rPr>
        <w:t xml:space="preserve"> s'apprécie au regard de l'ensemble des dispositions légales et règlementaires applicables : règles d'investissement, règles de fonctionnement mais également modalités d'information des souscripteurs. Le périmètre de la lettre d'engagement à fournir lors de toute demande d'agrément peut constituer à cet égard un cadre de référence utile ;</w:t>
      </w:r>
    </w:p>
    <w:p w:rsidR="00631111" w:rsidRPr="00631111" w:rsidRDefault="00631111" w:rsidP="00631111">
      <w:pPr>
        <w:pStyle w:val="AMFPucegrise"/>
        <w:numPr>
          <w:ilvl w:val="0"/>
          <w:numId w:val="0"/>
        </w:numPr>
        <w:spacing w:before="0"/>
        <w:ind w:left="152" w:hanging="152"/>
        <w:rPr>
          <w:rFonts w:asciiTheme="minorHAnsi" w:hAnsiTheme="minorHAnsi" w:cstheme="minorHAnsi"/>
          <w:b w:val="0"/>
        </w:rPr>
      </w:pPr>
    </w:p>
    <w:p w:rsidR="00631111" w:rsidRDefault="00631111" w:rsidP="00631111">
      <w:pPr>
        <w:pStyle w:val="AMFPucegrise"/>
        <w:spacing w:before="0"/>
        <w:ind w:left="284" w:hanging="284"/>
        <w:rPr>
          <w:rFonts w:asciiTheme="minorHAnsi" w:hAnsiTheme="minorHAnsi" w:cstheme="minorHAnsi"/>
          <w:b w:val="0"/>
        </w:rPr>
      </w:pPr>
      <w:r w:rsidRPr="00631111">
        <w:rPr>
          <w:rFonts w:asciiTheme="minorHAnsi" w:hAnsiTheme="minorHAnsi" w:cstheme="minorHAnsi"/>
          <w:b w:val="0"/>
        </w:rPr>
        <w:t>Ces objectifs supposent que la société de gestion soit en mesure, en amont de la création du FCPR :</w:t>
      </w:r>
    </w:p>
    <w:p w:rsidR="00631111" w:rsidRDefault="00631111" w:rsidP="00631111">
      <w:pPr>
        <w:pStyle w:val="Paragraphedeliste"/>
        <w:rPr>
          <w:rFonts w:asciiTheme="minorHAnsi" w:hAnsiTheme="minorHAnsi" w:cstheme="minorHAnsi"/>
          <w:b/>
        </w:rPr>
      </w:pPr>
    </w:p>
    <w:p w:rsidR="00631111" w:rsidRDefault="002915D1" w:rsidP="00631111">
      <w:pPr>
        <w:pStyle w:val="AMFPucegrise"/>
        <w:numPr>
          <w:ilvl w:val="0"/>
          <w:numId w:val="42"/>
        </w:numPr>
        <w:spacing w:before="0"/>
        <w:rPr>
          <w:rFonts w:asciiTheme="minorHAnsi" w:hAnsiTheme="minorHAnsi" w:cstheme="minorHAnsi"/>
          <w:b w:val="0"/>
        </w:rPr>
      </w:pPr>
      <w:r>
        <w:rPr>
          <w:rFonts w:asciiTheme="minorHAnsi" w:hAnsiTheme="minorHAnsi" w:cstheme="minorHAnsi"/>
          <w:b w:val="0"/>
        </w:rPr>
        <w:t>D</w:t>
      </w:r>
      <w:r w:rsidR="00631111" w:rsidRPr="00631111">
        <w:rPr>
          <w:rFonts w:asciiTheme="minorHAnsi" w:hAnsiTheme="minorHAnsi" w:cstheme="minorHAnsi"/>
          <w:b w:val="0"/>
        </w:rPr>
        <w:t>'identifier le cas échéant les particularités du FCPR nécessitant une vigilance particulière ou une analyse approfondie ;</w:t>
      </w:r>
    </w:p>
    <w:p w:rsidR="00631111" w:rsidRDefault="002915D1" w:rsidP="00631111">
      <w:pPr>
        <w:pStyle w:val="AMFPucegrise"/>
        <w:numPr>
          <w:ilvl w:val="0"/>
          <w:numId w:val="42"/>
        </w:numPr>
        <w:spacing w:before="0"/>
        <w:rPr>
          <w:rFonts w:asciiTheme="minorHAnsi" w:hAnsiTheme="minorHAnsi" w:cstheme="minorHAnsi"/>
          <w:b w:val="0"/>
        </w:rPr>
      </w:pPr>
      <w:r>
        <w:rPr>
          <w:rFonts w:asciiTheme="minorHAnsi" w:hAnsiTheme="minorHAnsi" w:cstheme="minorHAnsi"/>
          <w:b w:val="0"/>
        </w:rPr>
        <w:t>D</w:t>
      </w:r>
      <w:r w:rsidR="00631111" w:rsidRPr="00631111">
        <w:rPr>
          <w:rFonts w:asciiTheme="minorHAnsi" w:hAnsiTheme="minorHAnsi" w:cstheme="minorHAnsi"/>
          <w:b w:val="0"/>
        </w:rPr>
        <w:t>e produire des documents d'information (règlement, documents commerciaux) cohérents avec les caractéristiques du FCPR</w:t>
      </w:r>
      <w:r w:rsidR="00631111">
        <w:rPr>
          <w:rFonts w:asciiTheme="minorHAnsi" w:hAnsiTheme="minorHAnsi" w:cstheme="minorHAnsi"/>
          <w:b w:val="0"/>
        </w:rPr>
        <w:t xml:space="preserve"> </w:t>
      </w:r>
      <w:r w:rsidR="00631111" w:rsidRPr="00631111">
        <w:rPr>
          <w:rFonts w:asciiTheme="minorHAnsi" w:hAnsiTheme="minorHAnsi" w:cstheme="minorHAnsi"/>
          <w:b w:val="0"/>
        </w:rPr>
        <w:t>;</w:t>
      </w:r>
    </w:p>
    <w:p w:rsidR="00631111" w:rsidRPr="00631111" w:rsidRDefault="002915D1" w:rsidP="00631111">
      <w:pPr>
        <w:pStyle w:val="Paragraphedeliste"/>
        <w:numPr>
          <w:ilvl w:val="0"/>
          <w:numId w:val="42"/>
        </w:numPr>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D</w:t>
      </w:r>
      <w:r w:rsidR="00631111" w:rsidRPr="00631111">
        <w:rPr>
          <w:rFonts w:asciiTheme="minorHAnsi" w:eastAsiaTheme="minorHAnsi" w:hAnsiTheme="minorHAnsi" w:cstheme="minorHAnsi"/>
          <w:sz w:val="20"/>
          <w:szCs w:val="20"/>
          <w:lang w:eastAsia="en-US"/>
        </w:rPr>
        <w:t>e vérifier qu'elle est effectivement en mesure de faire fonctionner le FCPR conformément à ses documents constitutifs (style de gestion, types d'instruments financiers mais également conditions de souscription / rachat, règles de valorisation, etc.) ;</w:t>
      </w:r>
    </w:p>
    <w:p w:rsidR="00631111" w:rsidRPr="00631111" w:rsidRDefault="002915D1" w:rsidP="00631111">
      <w:pPr>
        <w:pStyle w:val="AMFPucegrise"/>
        <w:numPr>
          <w:ilvl w:val="0"/>
          <w:numId w:val="42"/>
        </w:numPr>
        <w:spacing w:before="0"/>
        <w:rPr>
          <w:rFonts w:asciiTheme="minorHAnsi" w:hAnsiTheme="minorHAnsi" w:cstheme="minorHAnsi"/>
          <w:b w:val="0"/>
        </w:rPr>
      </w:pPr>
      <w:r>
        <w:rPr>
          <w:rFonts w:asciiTheme="minorHAnsi" w:hAnsiTheme="minorHAnsi" w:cstheme="minorHAnsi"/>
          <w:b w:val="0"/>
        </w:rPr>
        <w:t>D</w:t>
      </w:r>
      <w:r w:rsidR="00631111" w:rsidRPr="00631111">
        <w:rPr>
          <w:rFonts w:asciiTheme="minorHAnsi" w:hAnsiTheme="minorHAnsi" w:cstheme="minorHAnsi"/>
          <w:b w:val="0"/>
        </w:rPr>
        <w:t>e justifier du respect des procédures internes applicables.</w:t>
      </w:r>
    </w:p>
    <w:p w:rsidR="00922AD8" w:rsidRPr="00631111" w:rsidRDefault="00922AD8" w:rsidP="00631111">
      <w:pPr>
        <w:jc w:val="both"/>
        <w:rPr>
          <w:rFonts w:asciiTheme="minorHAnsi" w:hAnsiTheme="minorHAnsi" w:cstheme="minorHAnsi"/>
          <w:sz w:val="20"/>
          <w:szCs w:val="20"/>
        </w:rPr>
      </w:pPr>
    </w:p>
    <w:p w:rsidR="00922AD8" w:rsidRPr="00057454" w:rsidRDefault="00631111" w:rsidP="00631111">
      <w:pPr>
        <w:pStyle w:val="AMFPucegrise"/>
        <w:spacing w:before="0"/>
        <w:ind w:left="284" w:hanging="284"/>
        <w:rPr>
          <w:rFonts w:asciiTheme="minorHAnsi" w:hAnsiTheme="minorHAnsi" w:cstheme="minorHAnsi"/>
          <w:b w:val="0"/>
        </w:rPr>
      </w:pPr>
      <w:r w:rsidRPr="00631111">
        <w:rPr>
          <w:rFonts w:asciiTheme="minorHAnsi" w:hAnsiTheme="minorHAnsi" w:cstheme="minorHAnsi"/>
          <w:b w:val="0"/>
        </w:rPr>
        <w:t>La société de gestion doit disposer d'une organisation, de moyens et de procédures proportionnés à la nature de l'activité exercée permettant de traiter les éventuelles anomalies détectées, et de mettre en œuvre les éventuelles actions correctives associées, dans les meilleurs délais.</w:t>
      </w:r>
    </w:p>
    <w:p w:rsidR="00922AD8" w:rsidRPr="00631111" w:rsidRDefault="00922AD8" w:rsidP="00631111">
      <w:pPr>
        <w:jc w:val="both"/>
        <w:rPr>
          <w:rFonts w:asciiTheme="minorHAnsi" w:hAnsiTheme="minorHAnsi" w:cstheme="minorHAnsi"/>
          <w:sz w:val="20"/>
          <w:szCs w:val="20"/>
        </w:rPr>
      </w:pPr>
    </w:p>
    <w:p w:rsidR="00922AD8" w:rsidRPr="00631111" w:rsidRDefault="00922AD8" w:rsidP="00631111">
      <w:pPr>
        <w:jc w:val="both"/>
        <w:rPr>
          <w:rFonts w:asciiTheme="minorHAnsi" w:hAnsiTheme="minorHAnsi" w:cstheme="minorHAnsi"/>
          <w:sz w:val="20"/>
          <w:szCs w:val="20"/>
        </w:rPr>
      </w:pPr>
    </w:p>
    <w:p w:rsidR="00922AD8" w:rsidRPr="00631111" w:rsidRDefault="00922AD8" w:rsidP="00631111">
      <w:pPr>
        <w:jc w:val="both"/>
        <w:rPr>
          <w:rFonts w:asciiTheme="minorHAnsi" w:hAnsiTheme="minorHAnsi" w:cstheme="minorHAnsi"/>
          <w:sz w:val="20"/>
          <w:szCs w:val="20"/>
        </w:rPr>
      </w:pPr>
    </w:p>
    <w:p w:rsidR="00922AD8" w:rsidRPr="00631111" w:rsidRDefault="00922AD8" w:rsidP="00631111">
      <w:pPr>
        <w:jc w:val="both"/>
        <w:rPr>
          <w:rFonts w:asciiTheme="minorHAnsi" w:hAnsiTheme="minorHAnsi" w:cstheme="minorHAnsi"/>
          <w:sz w:val="20"/>
          <w:szCs w:val="20"/>
        </w:rPr>
      </w:pPr>
      <w:bookmarkStart w:id="5" w:name="_GoBack"/>
      <w:bookmarkEnd w:id="5"/>
    </w:p>
    <w:sectPr w:rsidR="00922AD8" w:rsidRPr="00631111" w:rsidSect="00081395">
      <w:headerReference w:type="default" r:id="rId9"/>
      <w:footerReference w:type="default" r:id="rId10"/>
      <w:headerReference w:type="first" r:id="rId11"/>
      <w:footerReference w:type="first" r:id="rId12"/>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046" w:rsidRDefault="00BD0046">
      <w:r>
        <w:separator/>
      </w:r>
    </w:p>
  </w:endnote>
  <w:endnote w:type="continuationSeparator" w:id="0">
    <w:p w:rsidR="00BD0046" w:rsidRDefault="00BD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088864"/>
      <w:docPartObj>
        <w:docPartGallery w:val="Page Numbers (Top of Page)"/>
        <w:docPartUnique/>
      </w:docPartObj>
    </w:sdtPr>
    <w:sdtEndPr>
      <w:rPr>
        <w:rFonts w:asciiTheme="minorHAnsi" w:hAnsiTheme="minorHAnsi" w:cstheme="minorHAnsi"/>
        <w:sz w:val="18"/>
        <w:szCs w:val="18"/>
      </w:rPr>
    </w:sdtEndPr>
    <w:sdtContent>
      <w:p w:rsidR="00EC2534" w:rsidRDefault="00EC2534" w:rsidP="00EC2534">
        <w:pPr>
          <w:pStyle w:val="Pieddepage"/>
        </w:pPr>
        <w:r>
          <w:ptab w:relativeTo="margin" w:alignment="right" w:leader="underscore"/>
        </w:r>
      </w:p>
      <w:p w:rsidR="00EC2534" w:rsidRPr="00ED7AD9" w:rsidRDefault="00EC2534" w:rsidP="00EC2534">
        <w:pPr>
          <w:pStyle w:val="Pieddepage"/>
        </w:pPr>
        <w:r>
          <w:rPr>
            <w:rFonts w:asciiTheme="minorHAnsi" w:hAnsiTheme="minorHAnsi" w:cstheme="minorHAnsi"/>
            <w:bCs/>
            <w:sz w:val="18"/>
            <w:szCs w:val="18"/>
          </w:rPr>
          <w:tab/>
        </w:r>
        <w:r>
          <w:rPr>
            <w:rFonts w:asciiTheme="minorHAnsi" w:hAnsiTheme="minorHAnsi" w:cstheme="minorHAnsi"/>
            <w:bCs/>
            <w:sz w:val="18"/>
            <w:szCs w:val="18"/>
          </w:rPr>
          <w:tab/>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PAGE</w:instrText>
        </w:r>
        <w:r w:rsidRPr="00ED7AD9">
          <w:rPr>
            <w:rFonts w:asciiTheme="minorHAnsi" w:hAnsiTheme="minorHAnsi" w:cstheme="minorHAnsi"/>
            <w:bCs/>
            <w:sz w:val="18"/>
            <w:szCs w:val="18"/>
          </w:rPr>
          <w:fldChar w:fldCharType="separate"/>
        </w:r>
        <w:r w:rsidR="00057454">
          <w:rPr>
            <w:rFonts w:asciiTheme="minorHAnsi" w:hAnsiTheme="minorHAnsi" w:cstheme="minorHAnsi"/>
            <w:bCs/>
            <w:noProof/>
            <w:sz w:val="18"/>
            <w:szCs w:val="18"/>
          </w:rPr>
          <w:t>2</w:t>
        </w:r>
        <w:r w:rsidRPr="00ED7AD9">
          <w:rPr>
            <w:rFonts w:asciiTheme="minorHAnsi" w:hAnsiTheme="minorHAnsi" w:cstheme="minorHAnsi"/>
            <w:sz w:val="18"/>
            <w:szCs w:val="18"/>
          </w:rPr>
          <w:fldChar w:fldCharType="end"/>
        </w:r>
        <w:r w:rsidRPr="00ED7AD9">
          <w:rPr>
            <w:rFonts w:asciiTheme="minorHAnsi" w:hAnsiTheme="minorHAnsi" w:cstheme="minorHAnsi"/>
            <w:sz w:val="18"/>
            <w:szCs w:val="18"/>
          </w:rPr>
          <w:t>/</w:t>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NUMPAGES</w:instrText>
        </w:r>
        <w:r w:rsidRPr="00ED7AD9">
          <w:rPr>
            <w:rFonts w:asciiTheme="minorHAnsi" w:hAnsiTheme="minorHAnsi" w:cstheme="minorHAnsi"/>
            <w:bCs/>
            <w:sz w:val="18"/>
            <w:szCs w:val="18"/>
          </w:rPr>
          <w:fldChar w:fldCharType="separate"/>
        </w:r>
        <w:r w:rsidR="00057454">
          <w:rPr>
            <w:rFonts w:asciiTheme="minorHAnsi" w:hAnsiTheme="minorHAnsi" w:cstheme="minorHAnsi"/>
            <w:bCs/>
            <w:noProof/>
            <w:sz w:val="18"/>
            <w:szCs w:val="18"/>
          </w:rPr>
          <w:t>2</w:t>
        </w:r>
        <w:r w:rsidRPr="00ED7AD9">
          <w:rPr>
            <w:rFonts w:asciiTheme="minorHAnsi" w:hAnsiTheme="minorHAnsi" w:cstheme="minorHAnsi"/>
            <w:sz w:val="18"/>
            <w:szCs w:val="18"/>
          </w:rPr>
          <w:fldChar w:fldCharType="end"/>
        </w:r>
      </w:p>
    </w:sdtContent>
  </w:sdt>
  <w:p w:rsidR="00EC2534" w:rsidRDefault="00EC25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38322"/>
      <w:docPartObj>
        <w:docPartGallery w:val="Page Numbers (Top of Page)"/>
        <w:docPartUnique/>
      </w:docPartObj>
    </w:sdtPr>
    <w:sdtEndPr>
      <w:rPr>
        <w:rFonts w:asciiTheme="minorHAnsi" w:hAnsiTheme="minorHAnsi" w:cstheme="minorHAnsi"/>
        <w:sz w:val="18"/>
        <w:szCs w:val="18"/>
      </w:rPr>
    </w:sdtEndPr>
    <w:sdtContent>
      <w:p w:rsidR="00EC2534" w:rsidRDefault="00EC2534" w:rsidP="00EC2534">
        <w:pPr>
          <w:pStyle w:val="Pieddepage"/>
        </w:pPr>
        <w:r>
          <w:ptab w:relativeTo="margin" w:alignment="right" w:leader="underscore"/>
        </w:r>
      </w:p>
      <w:p w:rsidR="00EC2534" w:rsidRPr="00ED7AD9" w:rsidRDefault="00EC2534" w:rsidP="00EC2534">
        <w:pPr>
          <w:pStyle w:val="Pieddepage"/>
        </w:pPr>
        <w:r>
          <w:tab/>
        </w:r>
        <w:r>
          <w:tab/>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PAGE</w:instrText>
        </w:r>
        <w:r w:rsidRPr="00ED7AD9">
          <w:rPr>
            <w:rFonts w:asciiTheme="minorHAnsi" w:hAnsiTheme="minorHAnsi" w:cstheme="minorHAnsi"/>
            <w:bCs/>
            <w:sz w:val="18"/>
            <w:szCs w:val="18"/>
          </w:rPr>
          <w:fldChar w:fldCharType="separate"/>
        </w:r>
        <w:r w:rsidR="00057454">
          <w:rPr>
            <w:rFonts w:asciiTheme="minorHAnsi" w:hAnsiTheme="minorHAnsi" w:cstheme="minorHAnsi"/>
            <w:bCs/>
            <w:noProof/>
            <w:sz w:val="18"/>
            <w:szCs w:val="18"/>
          </w:rPr>
          <w:t>1</w:t>
        </w:r>
        <w:r w:rsidRPr="00ED7AD9">
          <w:rPr>
            <w:rFonts w:asciiTheme="minorHAnsi" w:hAnsiTheme="minorHAnsi" w:cstheme="minorHAnsi"/>
            <w:sz w:val="18"/>
            <w:szCs w:val="18"/>
          </w:rPr>
          <w:fldChar w:fldCharType="end"/>
        </w:r>
        <w:r w:rsidRPr="00ED7AD9">
          <w:rPr>
            <w:rFonts w:asciiTheme="minorHAnsi" w:hAnsiTheme="minorHAnsi" w:cstheme="minorHAnsi"/>
            <w:sz w:val="18"/>
            <w:szCs w:val="18"/>
          </w:rPr>
          <w:t>/</w:t>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NUMPAGES</w:instrText>
        </w:r>
        <w:r w:rsidRPr="00ED7AD9">
          <w:rPr>
            <w:rFonts w:asciiTheme="minorHAnsi" w:hAnsiTheme="minorHAnsi" w:cstheme="minorHAnsi"/>
            <w:bCs/>
            <w:sz w:val="18"/>
            <w:szCs w:val="18"/>
          </w:rPr>
          <w:fldChar w:fldCharType="separate"/>
        </w:r>
        <w:r w:rsidR="00057454">
          <w:rPr>
            <w:rFonts w:asciiTheme="minorHAnsi" w:hAnsiTheme="minorHAnsi" w:cstheme="minorHAnsi"/>
            <w:bCs/>
            <w:noProof/>
            <w:sz w:val="18"/>
            <w:szCs w:val="18"/>
          </w:rPr>
          <w:t>1</w:t>
        </w:r>
        <w:r w:rsidRPr="00ED7AD9">
          <w:rPr>
            <w:rFonts w:asciiTheme="minorHAnsi" w:hAnsiTheme="minorHAnsi" w:cstheme="minorHAnsi"/>
            <w:sz w:val="18"/>
            <w:szCs w:val="18"/>
          </w:rPr>
          <w:fldChar w:fldCharType="end"/>
        </w:r>
      </w:p>
    </w:sdtContent>
  </w:sdt>
  <w:p w:rsidR="00EC2534" w:rsidRDefault="00EC25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046" w:rsidRDefault="00BD0046">
      <w:r>
        <w:separator/>
      </w:r>
    </w:p>
  </w:footnote>
  <w:footnote w:type="continuationSeparator" w:id="0">
    <w:p w:rsidR="00BD0046" w:rsidRDefault="00BD0046">
      <w:r>
        <w:continuationSeparator/>
      </w:r>
    </w:p>
  </w:footnote>
  <w:footnote w:id="1">
    <w:p w:rsidR="00631111" w:rsidRPr="00EA0B9A" w:rsidRDefault="00631111" w:rsidP="00631111">
      <w:pPr>
        <w:rPr>
          <w:rFonts w:cs="Arial"/>
          <w:szCs w:val="16"/>
        </w:rPr>
      </w:pPr>
      <w:r w:rsidRPr="003F548F">
        <w:rPr>
          <w:rFonts w:asciiTheme="minorHAnsi" w:hAnsiTheme="minorHAnsi" w:cstheme="minorHAnsi"/>
          <w:i/>
          <w:sz w:val="16"/>
          <w:vertAlign w:val="superscript"/>
        </w:rPr>
        <w:footnoteRef/>
      </w:r>
      <w:r w:rsidRPr="003F548F">
        <w:rPr>
          <w:rFonts w:asciiTheme="minorHAnsi" w:hAnsiTheme="minorHAnsi" w:cstheme="minorHAnsi"/>
          <w:i/>
          <w:sz w:val="16"/>
          <w:szCs w:val="16"/>
          <w:vertAlign w:val="superscript"/>
        </w:rPr>
        <w:t xml:space="preserve"> </w:t>
      </w:r>
      <w:r w:rsidRPr="00631111">
        <w:rPr>
          <w:rFonts w:asciiTheme="minorHAnsi" w:hAnsiTheme="minorHAnsi" w:cstheme="minorHAnsi"/>
          <w:i/>
          <w:sz w:val="16"/>
          <w:szCs w:val="16"/>
        </w:rPr>
        <w:t>DICI : document d’information clé pour l’investisseur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3A3727">
    <w:pPr>
      <w:pStyle w:val="En-tte"/>
      <w:rPr>
        <w:rFonts w:asciiTheme="minorHAnsi" w:hAnsiTheme="minorHAnsi" w:cstheme="minorHAnsi"/>
        <w:sz w:val="18"/>
        <w:szCs w:val="18"/>
      </w:rPr>
    </w:pPr>
    <w:r w:rsidRPr="003A3727">
      <w:rPr>
        <w:rFonts w:asciiTheme="minorHAnsi" w:hAnsiTheme="minorHAnsi" w:cstheme="minorHAnsi"/>
        <w:bCs/>
        <w:iCs/>
        <w:sz w:val="18"/>
        <w:szCs w:val="18"/>
      </w:rPr>
      <w:t>Cadre de référence concernant l'engagement signé par la société de gestion</w:t>
    </w:r>
    <w:r w:rsidRPr="003A3727">
      <w:rPr>
        <w:rFonts w:asciiTheme="minorHAnsi" w:hAnsiTheme="minorHAnsi" w:cstheme="minorHAnsi"/>
        <w:sz w:val="18"/>
        <w:szCs w:val="18"/>
      </w:rPr>
      <w:t xml:space="preserve"> </w:t>
    </w:r>
    <w:r>
      <w:rPr>
        <w:rFonts w:asciiTheme="minorHAnsi" w:hAnsiTheme="minorHAnsi" w:cstheme="minorHAnsi"/>
        <w:sz w:val="18"/>
        <w:szCs w:val="18"/>
      </w:rPr>
      <w:t>–</w:t>
    </w:r>
    <w:r w:rsidR="00922AD8" w:rsidRPr="00922AD8">
      <w:rPr>
        <w:rFonts w:asciiTheme="minorHAnsi" w:hAnsiTheme="minorHAnsi" w:cstheme="minorHAnsi"/>
        <w:sz w:val="18"/>
        <w:szCs w:val="18"/>
      </w:rPr>
      <w:t xml:space="preserve"> </w:t>
    </w:r>
    <w:r>
      <w:rPr>
        <w:rFonts w:asciiTheme="minorHAnsi" w:hAnsiTheme="minorHAnsi" w:cstheme="minorHAnsi"/>
        <w:sz w:val="18"/>
        <w:szCs w:val="18"/>
      </w:rPr>
      <w:t xml:space="preserve">Annexe II bis de l’instruction </w:t>
    </w:r>
    <w:r w:rsidR="00922AD8" w:rsidRPr="00922AD8">
      <w:rPr>
        <w:rFonts w:asciiTheme="minorHAnsi" w:hAnsiTheme="minorHAnsi" w:cstheme="minorHAnsi"/>
        <w:sz w:val="18"/>
        <w:szCs w:val="18"/>
      </w:rPr>
      <w:t>DOC-</w:t>
    </w:r>
    <w:r>
      <w:rPr>
        <w:rFonts w:asciiTheme="minorHAnsi" w:hAnsiTheme="minorHAnsi" w:cstheme="minorHAnsi"/>
        <w:sz w:val="18"/>
        <w:szCs w:val="18"/>
      </w:rPr>
      <w:t>2011</w:t>
    </w:r>
    <w:r w:rsidR="00922AD8" w:rsidRPr="00922AD8">
      <w:rPr>
        <w:rFonts w:asciiTheme="minorHAnsi" w:hAnsiTheme="minorHAnsi" w:cstheme="minorHAnsi"/>
        <w:sz w:val="18"/>
        <w:szCs w:val="18"/>
      </w:rPr>
      <w:t>-</w:t>
    </w:r>
    <w:r>
      <w:rPr>
        <w:rFonts w:asciiTheme="minorHAnsi" w:hAnsiTheme="minorHAnsi" w:cstheme="minorHAnsi"/>
        <w:sz w:val="18"/>
        <w:szCs w:val="18"/>
      </w:rPr>
      <w:t>22</w:t>
    </w:r>
    <w:r w:rsidR="00922AD8" w:rsidRPr="00922AD8">
      <w:rPr>
        <w:rFonts w:asciiTheme="minorHAnsi" w:hAnsiTheme="minorHAnsi" w:cstheme="minorHAnsi"/>
        <w:sz w:val="18"/>
        <w:szCs w:val="18"/>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7.65pt;height:27.65pt" o:bullet="t">
        <v:imagedata r:id="rId1" o:title="Flêche_AMF_blc"/>
      </v:shape>
    </w:pict>
  </w:numPicBullet>
  <w:numPicBullet w:numPicBulletId="1">
    <w:pict>
      <v:shape id="_x0000_i1052" type="#_x0000_t75" style="width:2.3pt;height:2.3pt" o:bullet="t">
        <v:imagedata r:id="rId2" o:title="Fleche_prune copie"/>
      </v:shape>
    </w:pict>
  </w:numPicBullet>
  <w:numPicBullet w:numPicBulletId="2">
    <w:pict>
      <v:shape id="_x0000_i1053" type="#_x0000_t75" style="width:27.65pt;height:27.65pt" o:bullet="t">
        <v:imagedata r:id="rId3" o:title="Fleche_jaune"/>
      </v:shape>
    </w:pict>
  </w:numPicBullet>
  <w:numPicBullet w:numPicBulletId="3">
    <w:pict>
      <v:shape id="_x0000_i1054" type="#_x0000_t75" style="width:27.65pt;height:27.65pt" o:bullet="t">
        <v:imagedata r:id="rId4" o:title="Fleche_aubergine"/>
      </v:shape>
    </w:pict>
  </w:numPicBullet>
  <w:numPicBullet w:numPicBulletId="4">
    <w:pict>
      <v:shape id="_x0000_i1055" type="#_x0000_t75" style="width:27.65pt;height:27.65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9E324F4C"/>
    <w:lvl w:ilvl="0">
      <w:numFmt w:val="bullet"/>
      <w:lvlText w:val="*"/>
      <w:lvlJc w:val="left"/>
    </w:lvl>
  </w:abstractNum>
  <w:abstractNum w:abstractNumId="12"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F54232"/>
    <w:multiLevelType w:val="hybridMultilevel"/>
    <w:tmpl w:val="8BCC9FBA"/>
    <w:lvl w:ilvl="0" w:tplc="3D72C3D2">
      <w:start w:val="1"/>
      <w:numFmt w:val="bullet"/>
      <w:pStyle w:val="AMFPucegrise"/>
      <w:lvlText w:val=""/>
      <w:lvlJc w:val="left"/>
      <w:pPr>
        <w:ind w:left="152" w:hanging="360"/>
      </w:pPr>
      <w:rPr>
        <w:rFonts w:ascii="Wingdings" w:hAnsi="Wingdings" w:hint="default"/>
        <w:color w:val="0070C0"/>
        <w:sz w:val="20"/>
        <w:szCs w:val="28"/>
      </w:rPr>
    </w:lvl>
    <w:lvl w:ilvl="1" w:tplc="040C0003" w:tentative="1">
      <w:start w:val="1"/>
      <w:numFmt w:val="bullet"/>
      <w:lvlText w:val="o"/>
      <w:lvlJc w:val="left"/>
      <w:pPr>
        <w:ind w:left="872" w:hanging="360"/>
      </w:pPr>
      <w:rPr>
        <w:rFonts w:ascii="Courier New" w:hAnsi="Courier New" w:cs="Courier New" w:hint="default"/>
      </w:rPr>
    </w:lvl>
    <w:lvl w:ilvl="2" w:tplc="040C0005" w:tentative="1">
      <w:start w:val="1"/>
      <w:numFmt w:val="bullet"/>
      <w:lvlText w:val=""/>
      <w:lvlJc w:val="left"/>
      <w:pPr>
        <w:ind w:left="1592" w:hanging="360"/>
      </w:pPr>
      <w:rPr>
        <w:rFonts w:ascii="Wingdings" w:hAnsi="Wingdings" w:hint="default"/>
      </w:rPr>
    </w:lvl>
    <w:lvl w:ilvl="3" w:tplc="040C0001" w:tentative="1">
      <w:start w:val="1"/>
      <w:numFmt w:val="bullet"/>
      <w:lvlText w:val=""/>
      <w:lvlJc w:val="left"/>
      <w:pPr>
        <w:ind w:left="2312" w:hanging="360"/>
      </w:pPr>
      <w:rPr>
        <w:rFonts w:ascii="Symbol" w:hAnsi="Symbol" w:hint="default"/>
      </w:rPr>
    </w:lvl>
    <w:lvl w:ilvl="4" w:tplc="040C0003" w:tentative="1">
      <w:start w:val="1"/>
      <w:numFmt w:val="bullet"/>
      <w:lvlText w:val="o"/>
      <w:lvlJc w:val="left"/>
      <w:pPr>
        <w:ind w:left="3032" w:hanging="360"/>
      </w:pPr>
      <w:rPr>
        <w:rFonts w:ascii="Courier New" w:hAnsi="Courier New" w:cs="Courier New" w:hint="default"/>
      </w:rPr>
    </w:lvl>
    <w:lvl w:ilvl="5" w:tplc="040C0005" w:tentative="1">
      <w:start w:val="1"/>
      <w:numFmt w:val="bullet"/>
      <w:lvlText w:val=""/>
      <w:lvlJc w:val="left"/>
      <w:pPr>
        <w:ind w:left="3752" w:hanging="360"/>
      </w:pPr>
      <w:rPr>
        <w:rFonts w:ascii="Wingdings" w:hAnsi="Wingdings" w:hint="default"/>
      </w:rPr>
    </w:lvl>
    <w:lvl w:ilvl="6" w:tplc="040C0001" w:tentative="1">
      <w:start w:val="1"/>
      <w:numFmt w:val="bullet"/>
      <w:lvlText w:val=""/>
      <w:lvlJc w:val="left"/>
      <w:pPr>
        <w:ind w:left="4472" w:hanging="360"/>
      </w:pPr>
      <w:rPr>
        <w:rFonts w:ascii="Symbol" w:hAnsi="Symbol" w:hint="default"/>
      </w:rPr>
    </w:lvl>
    <w:lvl w:ilvl="7" w:tplc="040C0003" w:tentative="1">
      <w:start w:val="1"/>
      <w:numFmt w:val="bullet"/>
      <w:lvlText w:val="o"/>
      <w:lvlJc w:val="left"/>
      <w:pPr>
        <w:ind w:left="5192" w:hanging="360"/>
      </w:pPr>
      <w:rPr>
        <w:rFonts w:ascii="Courier New" w:hAnsi="Courier New" w:cs="Courier New" w:hint="default"/>
      </w:rPr>
    </w:lvl>
    <w:lvl w:ilvl="8" w:tplc="040C0005" w:tentative="1">
      <w:start w:val="1"/>
      <w:numFmt w:val="bullet"/>
      <w:lvlText w:val=""/>
      <w:lvlJc w:val="left"/>
      <w:pPr>
        <w:ind w:left="5912" w:hanging="360"/>
      </w:pPr>
      <w:rPr>
        <w:rFonts w:ascii="Wingdings" w:hAnsi="Wingdings" w:hint="default"/>
      </w:rPr>
    </w:lvl>
  </w:abstractNum>
  <w:abstractNum w:abstractNumId="29"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AA50D0D"/>
    <w:multiLevelType w:val="hybridMultilevel"/>
    <w:tmpl w:val="B87AAEA4"/>
    <w:lvl w:ilvl="0" w:tplc="2E98E6EE">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6"/>
  </w:num>
  <w:num w:numId="4">
    <w:abstractNumId w:val="32"/>
  </w:num>
  <w:num w:numId="5">
    <w:abstractNumId w:val="35"/>
  </w:num>
  <w:num w:numId="6">
    <w:abstractNumId w:val="12"/>
  </w:num>
  <w:num w:numId="7">
    <w:abstractNumId w:val="13"/>
  </w:num>
  <w:num w:numId="8">
    <w:abstractNumId w:val="25"/>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6"/>
  </w:num>
  <w:num w:numId="21">
    <w:abstractNumId w:val="15"/>
  </w:num>
  <w:num w:numId="22">
    <w:abstractNumId w:val="19"/>
  </w:num>
  <w:num w:numId="23">
    <w:abstractNumId w:val="14"/>
  </w:num>
  <w:num w:numId="24">
    <w:abstractNumId w:val="31"/>
  </w:num>
  <w:num w:numId="25">
    <w:abstractNumId w:val="27"/>
  </w:num>
  <w:num w:numId="26">
    <w:abstractNumId w:val="34"/>
  </w:num>
  <w:num w:numId="27">
    <w:abstractNumId w:val="21"/>
  </w:num>
  <w:num w:numId="28">
    <w:abstractNumId w:val="17"/>
  </w:num>
  <w:num w:numId="29">
    <w:abstractNumId w:val="23"/>
    <w:lvlOverride w:ilvl="0">
      <w:startOverride w:val="1"/>
    </w:lvlOverride>
  </w:num>
  <w:num w:numId="30">
    <w:abstractNumId w:val="14"/>
  </w:num>
  <w:num w:numId="31">
    <w:abstractNumId w:val="33"/>
  </w:num>
  <w:num w:numId="32">
    <w:abstractNumId w:val="24"/>
  </w:num>
  <w:num w:numId="33">
    <w:abstractNumId w:val="28"/>
  </w:num>
  <w:num w:numId="34">
    <w:abstractNumId w:val="18"/>
  </w:num>
  <w:num w:numId="35">
    <w:abstractNumId w:val="29"/>
  </w:num>
  <w:num w:numId="36">
    <w:abstractNumId w:val="22"/>
  </w:num>
  <w:num w:numId="37">
    <w:abstractNumId w:val="20"/>
  </w:num>
  <w:num w:numId="38">
    <w:abstractNumId w:val="36"/>
  </w:num>
  <w:num w:numId="39">
    <w:abstractNumId w:val="11"/>
    <w:lvlOverride w:ilvl="0">
      <w:lvl w:ilvl="0">
        <w:start w:val="1"/>
        <w:numFmt w:val="bullet"/>
        <w:lvlText w:val="• "/>
        <w:legacy w:legacy="1" w:legacySpace="0" w:legacyIndent="0"/>
        <w:lvlJc w:val="left"/>
        <w:pPr>
          <w:ind w:left="220" w:firstLine="0"/>
        </w:pPr>
        <w:rPr>
          <w:rFonts w:ascii="Arial" w:hAnsi="Arial" w:cs="Arial" w:hint="default"/>
          <w:b w:val="0"/>
          <w:i w:val="0"/>
          <w:strike w:val="0"/>
          <w:color w:val="000000"/>
          <w:sz w:val="18"/>
          <w:u w:val="none"/>
        </w:rPr>
      </w:lvl>
    </w:lvlOverride>
  </w:num>
  <w:num w:numId="40">
    <w:abstractNumId w:val="28"/>
  </w:num>
  <w:num w:numId="41">
    <w:abstractNumId w:val="28"/>
  </w:num>
  <w:num w:numId="42">
    <w:abstractNumId w:val="30"/>
  </w:num>
  <w:num w:numId="4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57454"/>
    <w:rsid w:val="00060F10"/>
    <w:rsid w:val="00061209"/>
    <w:rsid w:val="000767FD"/>
    <w:rsid w:val="00081395"/>
    <w:rsid w:val="000B7F59"/>
    <w:rsid w:val="000F3F43"/>
    <w:rsid w:val="00105E07"/>
    <w:rsid w:val="0013025C"/>
    <w:rsid w:val="00133FF8"/>
    <w:rsid w:val="0023233D"/>
    <w:rsid w:val="002434A6"/>
    <w:rsid w:val="002915D1"/>
    <w:rsid w:val="002F705A"/>
    <w:rsid w:val="00365120"/>
    <w:rsid w:val="003A3727"/>
    <w:rsid w:val="003B0015"/>
    <w:rsid w:val="003F548F"/>
    <w:rsid w:val="00460571"/>
    <w:rsid w:val="005009B5"/>
    <w:rsid w:val="00511597"/>
    <w:rsid w:val="00593EDE"/>
    <w:rsid w:val="005C1100"/>
    <w:rsid w:val="005C6282"/>
    <w:rsid w:val="00631111"/>
    <w:rsid w:val="0066464A"/>
    <w:rsid w:val="00684FDF"/>
    <w:rsid w:val="006C4987"/>
    <w:rsid w:val="006E6631"/>
    <w:rsid w:val="007211C5"/>
    <w:rsid w:val="0075127A"/>
    <w:rsid w:val="007759C7"/>
    <w:rsid w:val="007C2CD0"/>
    <w:rsid w:val="00826BA0"/>
    <w:rsid w:val="00835FC9"/>
    <w:rsid w:val="008A64B6"/>
    <w:rsid w:val="008B2E32"/>
    <w:rsid w:val="00922AD8"/>
    <w:rsid w:val="009522A4"/>
    <w:rsid w:val="00976D02"/>
    <w:rsid w:val="0097706F"/>
    <w:rsid w:val="009D35DA"/>
    <w:rsid w:val="00A375FC"/>
    <w:rsid w:val="00A52761"/>
    <w:rsid w:val="00AC2B18"/>
    <w:rsid w:val="00AF529B"/>
    <w:rsid w:val="00BD0046"/>
    <w:rsid w:val="00C109BF"/>
    <w:rsid w:val="00C96044"/>
    <w:rsid w:val="00CD4213"/>
    <w:rsid w:val="00D52CFD"/>
    <w:rsid w:val="00D55321"/>
    <w:rsid w:val="00D80A91"/>
    <w:rsid w:val="00E049BB"/>
    <w:rsid w:val="00E1204F"/>
    <w:rsid w:val="00E46668"/>
    <w:rsid w:val="00E66D10"/>
    <w:rsid w:val="00E74AAB"/>
    <w:rsid w:val="00EC253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857C0B"/>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C2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E7"/>
    <w:rsid w:val="003335C2"/>
    <w:rsid w:val="007764B7"/>
    <w:rsid w:val="00AB0E55"/>
    <w:rsid w:val="00AD1FEF"/>
    <w:rsid w:val="00F253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F253E7"/>
    <w:rPr>
      <w:color w:val="808080"/>
    </w:rPr>
  </w:style>
  <w:style w:type="paragraph" w:customStyle="1" w:styleId="CD9B16455A04418D99369FFD2F7C7E2D">
    <w:name w:val="CD9B16455A04418D99369FFD2F7C7E2D"/>
    <w:rsid w:val="00F253E7"/>
  </w:style>
  <w:style w:type="paragraph" w:customStyle="1" w:styleId="CEBE13B19D0A429CBE28E3C84118C2FF">
    <w:name w:val="CEBE13B19D0A429CBE28E3C84118C2FF"/>
    <w:rsid w:val="00F253E7"/>
  </w:style>
  <w:style w:type="paragraph" w:customStyle="1" w:styleId="EB8138DC4B134A2D8AEF9EEFA1215883">
    <w:name w:val="EB8138DC4B134A2D8AEF9EEFA1215883"/>
    <w:rsid w:val="00F25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EC80C-9B88-4640-AA37-973292E0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426</Words>
  <Characters>2347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7</cp:revision>
  <cp:lastPrinted>2010-11-05T13:58:00Z</cp:lastPrinted>
  <dcterms:created xsi:type="dcterms:W3CDTF">2019-11-22T15:11:00Z</dcterms:created>
  <dcterms:modified xsi:type="dcterms:W3CDTF">2019-11-22T15:27:00Z</dcterms:modified>
</cp:coreProperties>
</file>