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0DDC" w14:textId="77777777" w:rsidR="00520BB1" w:rsidRPr="003B2658" w:rsidRDefault="00520BB1" w:rsidP="00520BB1">
      <w:pPr>
        <w:pStyle w:val="AMFSur-titre"/>
        <w:ind w:left="0"/>
      </w:pPr>
      <w:r w:rsidRPr="00E1204F">
        <w:rPr>
          <w:noProof/>
        </w:rPr>
        <mc:AlternateContent>
          <mc:Choice Requires="wps">
            <w:drawing>
              <wp:anchor distT="0" distB="0" distL="114300" distR="114300" simplePos="0" relativeHeight="251659264" behindDoc="0" locked="0" layoutInCell="1" allowOverlap="1" wp14:anchorId="1ED41778" wp14:editId="4995111D">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7114"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Pr>
          <w:noProof/>
        </w:rPr>
        <w:drawing>
          <wp:anchor distT="0" distB="0" distL="114300" distR="114300" simplePos="0" relativeHeight="251661312" behindDoc="1" locked="0" layoutInCell="1" allowOverlap="1" wp14:anchorId="76BE5A0D" wp14:editId="7F91A0BA">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0253A896" w14:textId="29CDB1E8" w:rsidR="00520BB1" w:rsidRPr="00520BB1" w:rsidRDefault="00520BB1" w:rsidP="00520BB1">
      <w:pPr>
        <w:pStyle w:val="AMFTitre"/>
        <w:ind w:left="0"/>
        <w:rPr>
          <w:rFonts w:asciiTheme="minorHAnsi" w:hAnsiTheme="minorHAnsi" w:cstheme="minorHAnsi"/>
          <w:sz w:val="24"/>
          <w:szCs w:val="24"/>
        </w:rPr>
      </w:pPr>
      <w:r w:rsidRPr="00520BB1">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10CFF117" wp14:editId="1460BA07">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2D0D2" id="Cadre 5" o:spid="_x0000_s1026" style="position:absolute;margin-left:372.25pt;margin-top:8.55pt;width:14.7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Pr="00520BB1">
        <w:rPr>
          <w:rFonts w:asciiTheme="minorHAnsi" w:eastAsia="Times New Roman" w:hAnsiTheme="minorHAnsi" w:cstheme="minorHAnsi"/>
          <w:iCs/>
          <w:caps w:val="0"/>
          <w:sz w:val="24"/>
          <w:szCs w:val="24"/>
          <w:lang w:eastAsia="en-US"/>
        </w:rPr>
        <w:t>CONTENU DES STATUTS DE LA SOCIETE DE LIBRE PARTENARIAT</w:t>
      </w:r>
    </w:p>
    <w:p w14:paraId="2B9896C6" w14:textId="694A5D2D" w:rsidR="00931174" w:rsidRDefault="00931174" w:rsidP="00931174">
      <w:pPr>
        <w:rPr>
          <w:rFonts w:cs="Arial"/>
          <w:szCs w:val="18"/>
        </w:rPr>
      </w:pPr>
    </w:p>
    <w:p w14:paraId="64E58274" w14:textId="3CBEF61E" w:rsidR="00520BB1" w:rsidRDefault="00520BB1" w:rsidP="00931174">
      <w:pPr>
        <w:rPr>
          <w:rFonts w:cs="Arial"/>
          <w:szCs w:val="18"/>
        </w:rPr>
      </w:pPr>
    </w:p>
    <w:p w14:paraId="04F4B58B" w14:textId="77777777" w:rsidR="00520BB1" w:rsidRDefault="00520BB1" w:rsidP="00931174">
      <w:pPr>
        <w:rPr>
          <w:rFonts w:cs="Arial"/>
          <w:szCs w:val="18"/>
        </w:rPr>
      </w:pPr>
    </w:p>
    <w:p w14:paraId="17DCFA8E" w14:textId="5C479BE0" w:rsidR="00931174" w:rsidRPr="00520BB1" w:rsidRDefault="00931174" w:rsidP="00931174">
      <w:pPr>
        <w:rPr>
          <w:rFonts w:asciiTheme="minorHAnsi" w:hAnsiTheme="minorHAnsi" w:cstheme="minorHAnsi"/>
          <w:b/>
          <w:sz w:val="20"/>
        </w:rPr>
      </w:pPr>
      <w:r w:rsidRPr="00520BB1">
        <w:rPr>
          <w:rFonts w:asciiTheme="minorHAnsi" w:hAnsiTheme="minorHAnsi" w:cstheme="minorHAnsi"/>
          <w:b/>
          <w:iCs/>
          <w:sz w:val="20"/>
        </w:rPr>
        <w:t>Ce document constitue l’annexe III.</w:t>
      </w:r>
      <w:r w:rsidR="0057389B" w:rsidRPr="00520BB1">
        <w:rPr>
          <w:rFonts w:asciiTheme="minorHAnsi" w:hAnsiTheme="minorHAnsi" w:cstheme="minorHAnsi"/>
          <w:b/>
          <w:iCs/>
          <w:sz w:val="20"/>
        </w:rPr>
        <w:t>4</w:t>
      </w:r>
      <w:r w:rsidR="009969C8" w:rsidRPr="00520BB1">
        <w:rPr>
          <w:rFonts w:asciiTheme="minorHAnsi" w:hAnsiTheme="minorHAnsi" w:cstheme="minorHAnsi"/>
          <w:b/>
          <w:iCs/>
          <w:sz w:val="20"/>
        </w:rPr>
        <w:t xml:space="preserve"> </w:t>
      </w:r>
      <w:r w:rsidRPr="00520BB1">
        <w:rPr>
          <w:rFonts w:asciiTheme="minorHAnsi" w:hAnsiTheme="minorHAnsi" w:cstheme="minorHAnsi"/>
          <w:b/>
          <w:iCs/>
          <w:sz w:val="20"/>
        </w:rPr>
        <w:t xml:space="preserve">de l’instruction AMF </w:t>
      </w:r>
      <w:r w:rsidRPr="00520BB1">
        <w:rPr>
          <w:rFonts w:asciiTheme="minorHAnsi" w:hAnsiTheme="minorHAnsi" w:cstheme="minorHAnsi"/>
          <w:b/>
          <w:sz w:val="20"/>
        </w:rPr>
        <w:t>- Modalités de déclaration, de modifications, établissement d’un prospectus et informations périodiques des fonds professionnels spécialisés</w:t>
      </w:r>
      <w:r w:rsidR="004B7357" w:rsidRPr="00520BB1">
        <w:rPr>
          <w:rFonts w:asciiTheme="minorHAnsi" w:hAnsiTheme="minorHAnsi" w:cstheme="minorHAnsi"/>
          <w:b/>
          <w:sz w:val="20"/>
        </w:rPr>
        <w:t xml:space="preserve">, </w:t>
      </w:r>
      <w:r w:rsidRPr="00520BB1">
        <w:rPr>
          <w:rFonts w:asciiTheme="minorHAnsi" w:hAnsiTheme="minorHAnsi" w:cstheme="minorHAnsi"/>
          <w:b/>
          <w:sz w:val="20"/>
        </w:rPr>
        <w:t>des fonds professionnels de capital investissement</w:t>
      </w:r>
      <w:r w:rsidR="004B7357" w:rsidRPr="00520BB1">
        <w:rPr>
          <w:rFonts w:asciiTheme="minorHAnsi" w:hAnsiTheme="minorHAnsi" w:cstheme="minorHAnsi"/>
          <w:b/>
          <w:sz w:val="20"/>
        </w:rPr>
        <w:t xml:space="preserve"> et des organismes de financement spécialisé </w:t>
      </w:r>
      <w:r w:rsidRPr="00520BB1">
        <w:rPr>
          <w:rFonts w:asciiTheme="minorHAnsi" w:hAnsiTheme="minorHAnsi" w:cstheme="minorHAnsi"/>
          <w:b/>
          <w:sz w:val="20"/>
        </w:rPr>
        <w:t>– DOC-2012-06</w:t>
      </w:r>
      <w:r w:rsidR="00520BB1" w:rsidRPr="00520BB1">
        <w:rPr>
          <w:rFonts w:asciiTheme="minorHAnsi" w:hAnsiTheme="minorHAnsi" w:cstheme="minorHAnsi"/>
          <w:b/>
          <w:sz w:val="20"/>
        </w:rPr>
        <w:t>.</w:t>
      </w:r>
    </w:p>
    <w:p w14:paraId="1384DE26" w14:textId="77777777" w:rsidR="00931174" w:rsidRPr="00520BB1" w:rsidRDefault="00931174" w:rsidP="00931174">
      <w:pPr>
        <w:rPr>
          <w:rFonts w:asciiTheme="minorHAnsi" w:hAnsiTheme="minorHAnsi" w:cstheme="minorHAnsi"/>
          <w:sz w:val="20"/>
        </w:rPr>
      </w:pPr>
    </w:p>
    <w:p w14:paraId="6B4B12FF" w14:textId="77777777" w:rsidR="00F23398" w:rsidRPr="00520BB1" w:rsidRDefault="00F23398" w:rsidP="00931174">
      <w:pPr>
        <w:rPr>
          <w:rFonts w:asciiTheme="minorHAnsi" w:hAnsiTheme="minorHAnsi" w:cstheme="minorHAnsi"/>
          <w:sz w:val="20"/>
        </w:rPr>
      </w:pPr>
      <w:r w:rsidRPr="00520BB1">
        <w:rPr>
          <w:rFonts w:asciiTheme="minorHAnsi" w:hAnsiTheme="minorHAnsi" w:cstheme="minorHAnsi"/>
          <w:sz w:val="20"/>
        </w:rPr>
        <w:t xml:space="preserve">Les informations présentées dans cette annexe sont </w:t>
      </w:r>
      <w:r w:rsidR="00A5690D" w:rsidRPr="00520BB1">
        <w:rPr>
          <w:rFonts w:asciiTheme="minorHAnsi" w:hAnsiTheme="minorHAnsi" w:cstheme="minorHAnsi"/>
          <w:sz w:val="20"/>
        </w:rPr>
        <w:t>d</w:t>
      </w:r>
      <w:r w:rsidRPr="00520BB1">
        <w:rPr>
          <w:rFonts w:asciiTheme="minorHAnsi" w:hAnsiTheme="minorHAnsi" w:cstheme="minorHAnsi"/>
          <w:sz w:val="20"/>
        </w:rPr>
        <w:t>es éléments des statuts</w:t>
      </w:r>
      <w:r w:rsidR="00DA44CE" w:rsidRPr="00520BB1">
        <w:rPr>
          <w:rFonts w:asciiTheme="minorHAnsi" w:hAnsiTheme="minorHAnsi" w:cstheme="minorHAnsi"/>
          <w:sz w:val="20"/>
        </w:rPr>
        <w:t xml:space="preserve"> composant le prospectus</w:t>
      </w:r>
      <w:r w:rsidRPr="00520BB1">
        <w:rPr>
          <w:rFonts w:asciiTheme="minorHAnsi" w:hAnsiTheme="minorHAnsi" w:cstheme="minorHAnsi"/>
          <w:sz w:val="20"/>
        </w:rPr>
        <w:t xml:space="preserve"> </w:t>
      </w:r>
      <w:r w:rsidR="0026546B" w:rsidRPr="00520BB1">
        <w:rPr>
          <w:rFonts w:asciiTheme="minorHAnsi" w:hAnsiTheme="minorHAnsi" w:cstheme="minorHAnsi"/>
          <w:sz w:val="20"/>
        </w:rPr>
        <w:t>d’un fonds professionnel spécialisé</w:t>
      </w:r>
      <w:r w:rsidR="00DA44CE" w:rsidRPr="00520BB1">
        <w:rPr>
          <w:rFonts w:asciiTheme="minorHAnsi" w:hAnsiTheme="minorHAnsi" w:cstheme="minorHAnsi"/>
          <w:sz w:val="20"/>
        </w:rPr>
        <w:t xml:space="preserve"> </w:t>
      </w:r>
      <w:r w:rsidRPr="00520BB1">
        <w:rPr>
          <w:rFonts w:asciiTheme="minorHAnsi" w:hAnsiTheme="minorHAnsi" w:cstheme="minorHAnsi"/>
          <w:sz w:val="20"/>
        </w:rPr>
        <w:t xml:space="preserve">sous forme de </w:t>
      </w:r>
      <w:r w:rsidR="0026546B" w:rsidRPr="00520BB1">
        <w:rPr>
          <w:rFonts w:asciiTheme="minorHAnsi" w:hAnsiTheme="minorHAnsi" w:cstheme="minorHAnsi"/>
          <w:sz w:val="20"/>
        </w:rPr>
        <w:t>s</w:t>
      </w:r>
      <w:r w:rsidRPr="00520BB1">
        <w:rPr>
          <w:rFonts w:asciiTheme="minorHAnsi" w:hAnsiTheme="minorHAnsi" w:cstheme="minorHAnsi"/>
          <w:sz w:val="20"/>
        </w:rPr>
        <w:t xml:space="preserve">ociété de </w:t>
      </w:r>
      <w:r w:rsidR="0026546B" w:rsidRPr="00520BB1">
        <w:rPr>
          <w:rFonts w:asciiTheme="minorHAnsi" w:hAnsiTheme="minorHAnsi" w:cstheme="minorHAnsi"/>
          <w:sz w:val="20"/>
        </w:rPr>
        <w:t>l</w:t>
      </w:r>
      <w:r w:rsidRPr="00520BB1">
        <w:rPr>
          <w:rFonts w:asciiTheme="minorHAnsi" w:hAnsiTheme="minorHAnsi" w:cstheme="minorHAnsi"/>
          <w:sz w:val="20"/>
        </w:rPr>
        <w:t xml:space="preserve">ibre </w:t>
      </w:r>
      <w:r w:rsidR="0026546B" w:rsidRPr="00520BB1">
        <w:rPr>
          <w:rFonts w:asciiTheme="minorHAnsi" w:hAnsiTheme="minorHAnsi" w:cstheme="minorHAnsi"/>
          <w:sz w:val="20"/>
        </w:rPr>
        <w:t>p</w:t>
      </w:r>
      <w:r w:rsidRPr="00520BB1">
        <w:rPr>
          <w:rFonts w:asciiTheme="minorHAnsi" w:hAnsiTheme="minorHAnsi" w:cstheme="minorHAnsi"/>
          <w:sz w:val="20"/>
        </w:rPr>
        <w:t>artenariat, nécessaire pour être considéré comme un prospectus conforme.</w:t>
      </w:r>
      <w:r w:rsidR="0079484F" w:rsidRPr="00520BB1">
        <w:rPr>
          <w:rFonts w:asciiTheme="minorHAnsi" w:hAnsiTheme="minorHAnsi" w:cstheme="minorHAnsi"/>
          <w:sz w:val="20"/>
        </w:rPr>
        <w:t xml:space="preserve"> </w:t>
      </w:r>
      <w:r w:rsidR="00A82326" w:rsidRPr="00520BB1">
        <w:rPr>
          <w:rFonts w:asciiTheme="minorHAnsi" w:hAnsiTheme="minorHAnsi" w:cstheme="minorHAnsi"/>
          <w:sz w:val="20"/>
        </w:rPr>
        <w:t>Si ces informations doivent être exhaustivement reprises, il n’est pas nécessaire de les reprendre selon le plan présenté ci-dessous.</w:t>
      </w:r>
    </w:p>
    <w:p w14:paraId="3A24AD82" w14:textId="77777777" w:rsidR="00931174" w:rsidRPr="00520BB1" w:rsidRDefault="00931174" w:rsidP="00931174">
      <w:pPr>
        <w:rPr>
          <w:rFonts w:asciiTheme="minorHAnsi" w:hAnsiTheme="minorHAnsi" w:cstheme="minorHAnsi"/>
          <w:sz w:val="20"/>
        </w:rPr>
      </w:pPr>
    </w:p>
    <w:p w14:paraId="2C212B38" w14:textId="776EDBF0" w:rsidR="0035641A" w:rsidRDefault="0035641A" w:rsidP="00931174">
      <w:pPr>
        <w:rPr>
          <w:rFonts w:asciiTheme="minorHAnsi" w:hAnsiTheme="minorHAnsi" w:cstheme="minorHAnsi"/>
          <w:sz w:val="20"/>
        </w:rPr>
      </w:pPr>
      <w:r w:rsidRPr="00520BB1">
        <w:rPr>
          <w:rFonts w:asciiTheme="minorHAnsi" w:hAnsiTheme="minorHAnsi" w:cstheme="minorHAnsi"/>
          <w:sz w:val="20"/>
        </w:rPr>
        <w:t xml:space="preserve">Les statuts de la société de libre partenariat reprennent au moins les éléments contenus dans cette annexe, sans préjudice des </w:t>
      </w:r>
      <w:r w:rsidR="00B7462E" w:rsidRPr="00520BB1">
        <w:rPr>
          <w:rFonts w:asciiTheme="minorHAnsi" w:hAnsiTheme="minorHAnsi" w:cstheme="minorHAnsi"/>
          <w:sz w:val="20"/>
        </w:rPr>
        <w:t xml:space="preserve">autres </w:t>
      </w:r>
      <w:r w:rsidRPr="00520BB1">
        <w:rPr>
          <w:rFonts w:asciiTheme="minorHAnsi" w:hAnsiTheme="minorHAnsi" w:cstheme="minorHAnsi"/>
          <w:sz w:val="20"/>
        </w:rPr>
        <w:t>dispositions</w:t>
      </w:r>
      <w:r w:rsidR="006211EB" w:rsidRPr="00520BB1">
        <w:rPr>
          <w:rFonts w:asciiTheme="minorHAnsi" w:hAnsiTheme="minorHAnsi" w:cstheme="minorHAnsi"/>
          <w:sz w:val="20"/>
        </w:rPr>
        <w:t xml:space="preserve"> qui trouvent application</w:t>
      </w:r>
      <w:r w:rsidR="00B7462E" w:rsidRPr="00520BB1">
        <w:rPr>
          <w:rFonts w:asciiTheme="minorHAnsi" w:hAnsiTheme="minorHAnsi" w:cstheme="minorHAnsi"/>
          <w:sz w:val="20"/>
        </w:rPr>
        <w:t xml:space="preserve">, notamment </w:t>
      </w:r>
      <w:r w:rsidR="00A5690D" w:rsidRPr="00520BB1">
        <w:rPr>
          <w:rFonts w:asciiTheme="minorHAnsi" w:hAnsiTheme="minorHAnsi" w:cstheme="minorHAnsi"/>
          <w:sz w:val="20"/>
        </w:rPr>
        <w:t>celles issues du</w:t>
      </w:r>
      <w:r w:rsidRPr="00520BB1">
        <w:rPr>
          <w:rFonts w:asciiTheme="minorHAnsi" w:hAnsiTheme="minorHAnsi" w:cstheme="minorHAnsi"/>
          <w:sz w:val="20"/>
        </w:rPr>
        <w:t xml:space="preserve"> code monétaire et financier (y compris applicables aux soci</w:t>
      </w:r>
      <w:r w:rsidR="006211EB" w:rsidRPr="00520BB1">
        <w:rPr>
          <w:rFonts w:asciiTheme="minorHAnsi" w:hAnsiTheme="minorHAnsi" w:cstheme="minorHAnsi"/>
          <w:sz w:val="20"/>
        </w:rPr>
        <w:t>étés de libre partenariat) et d</w:t>
      </w:r>
      <w:r w:rsidR="00A5690D" w:rsidRPr="00520BB1">
        <w:rPr>
          <w:rFonts w:asciiTheme="minorHAnsi" w:hAnsiTheme="minorHAnsi" w:cstheme="minorHAnsi"/>
          <w:sz w:val="20"/>
        </w:rPr>
        <w:t>u</w:t>
      </w:r>
      <w:r w:rsidRPr="00520BB1">
        <w:rPr>
          <w:rFonts w:asciiTheme="minorHAnsi" w:hAnsiTheme="minorHAnsi" w:cstheme="minorHAnsi"/>
          <w:sz w:val="20"/>
        </w:rPr>
        <w:t xml:space="preserve"> droit des sociétés.</w:t>
      </w:r>
    </w:p>
    <w:p w14:paraId="72F86FE9" w14:textId="77777777" w:rsidR="00E104A4" w:rsidRDefault="00E104A4" w:rsidP="00931174">
      <w:pPr>
        <w:rPr>
          <w:rFonts w:asciiTheme="minorHAnsi" w:hAnsiTheme="minorHAnsi" w:cstheme="minorHAnsi"/>
          <w:sz w:val="20"/>
        </w:rPr>
      </w:pPr>
    </w:p>
    <w:p w14:paraId="607402B8" w14:textId="41739A1F" w:rsidR="00520BB1" w:rsidRPr="00E104A4" w:rsidRDefault="00E104A4" w:rsidP="00931174">
      <w:pPr>
        <w:pStyle w:val="AMFIntertitreframboise"/>
        <w:ind w:left="426" w:hanging="426"/>
      </w:pPr>
      <w:r w:rsidRPr="008C07A5">
        <w:rPr>
          <w:color w:val="1967B0"/>
        </w:rPr>
        <w:t>I. Caractéristiques générales</w:t>
      </w:r>
      <w:r>
        <w:rPr>
          <w:color w:val="1967B0"/>
        </w:rPr>
        <w:t xml:space="preserve"> ainsi que modalités de fonctionnement et de gestion</w:t>
      </w:r>
    </w:p>
    <w:p w14:paraId="67B3C98E" w14:textId="16CA12F4" w:rsidR="00931174" w:rsidRPr="00520BB1" w:rsidRDefault="00520BB1"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ab/>
      </w:r>
      <w:r w:rsidR="00931174" w:rsidRPr="00520BB1">
        <w:rPr>
          <w:rFonts w:asciiTheme="minorHAnsi" w:hAnsiTheme="minorHAnsi" w:cstheme="minorHAnsi"/>
          <w:w w:val="100"/>
          <w:sz w:val="20"/>
          <w:szCs w:val="20"/>
        </w:rPr>
        <w:t xml:space="preserve">1° </w:t>
      </w:r>
      <w:r w:rsidR="0026546B" w:rsidRPr="00520BB1">
        <w:rPr>
          <w:rFonts w:asciiTheme="minorHAnsi" w:hAnsiTheme="minorHAnsi" w:cstheme="minorHAnsi"/>
          <w:w w:val="100"/>
          <w:sz w:val="20"/>
          <w:szCs w:val="20"/>
        </w:rPr>
        <w:t>Avertissement</w:t>
      </w:r>
      <w:r w:rsidR="00931174" w:rsidRPr="00520BB1">
        <w:rPr>
          <w:rFonts w:asciiTheme="minorHAnsi" w:hAnsiTheme="minorHAnsi" w:cstheme="minorHAnsi"/>
          <w:w w:val="100"/>
          <w:sz w:val="20"/>
          <w:szCs w:val="20"/>
        </w:rPr>
        <w:t xml:space="preserve"> </w:t>
      </w:r>
    </w:p>
    <w:p w14:paraId="7748284C"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263ED20A" w14:textId="77777777" w:rsidR="00931174" w:rsidRPr="00520BB1" w:rsidRDefault="00931174" w:rsidP="00931174">
      <w:pPr>
        <w:pStyle w:val="CelluleIntitul"/>
        <w:keepNext/>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b/>
          <w:bCs/>
          <w:i/>
          <w:iCs/>
          <w:w w:val="100"/>
          <w:sz w:val="20"/>
          <w:szCs w:val="20"/>
        </w:rPr>
      </w:pPr>
      <w:r w:rsidRPr="00520BB1">
        <w:rPr>
          <w:rFonts w:asciiTheme="minorHAnsi" w:hAnsiTheme="minorHAnsi" w:cstheme="minorHAnsi"/>
          <w:i/>
          <w:iCs/>
          <w:w w:val="100"/>
          <w:sz w:val="20"/>
          <w:szCs w:val="20"/>
        </w:rPr>
        <w:tab/>
      </w:r>
      <w:r w:rsidRPr="00520BB1">
        <w:rPr>
          <w:rFonts w:asciiTheme="minorHAnsi" w:hAnsiTheme="minorHAnsi" w:cstheme="minorHAnsi"/>
          <w:i/>
          <w:iCs/>
          <w:w w:val="100"/>
          <w:sz w:val="20"/>
          <w:szCs w:val="20"/>
        </w:rPr>
        <w:tab/>
      </w:r>
      <w:r w:rsidRPr="00520BB1">
        <w:rPr>
          <w:rFonts w:asciiTheme="minorHAnsi" w:hAnsiTheme="minorHAnsi" w:cstheme="minorHAnsi"/>
          <w:w w:val="100"/>
          <w:sz w:val="20"/>
          <w:szCs w:val="20"/>
        </w:rPr>
        <w:t xml:space="preserve">Pour les </w:t>
      </w:r>
      <w:r w:rsidR="0026546B" w:rsidRPr="00520BB1">
        <w:rPr>
          <w:rFonts w:asciiTheme="minorHAnsi" w:hAnsiTheme="minorHAnsi" w:cstheme="minorHAnsi"/>
          <w:w w:val="100"/>
          <w:sz w:val="20"/>
          <w:szCs w:val="20"/>
        </w:rPr>
        <w:t>sociétés de libre partenariat</w:t>
      </w:r>
      <w:r w:rsidRPr="00520BB1">
        <w:rPr>
          <w:rFonts w:asciiTheme="minorHAnsi" w:hAnsiTheme="minorHAnsi" w:cstheme="minorHAnsi"/>
          <w:w w:val="100"/>
          <w:sz w:val="20"/>
          <w:szCs w:val="20"/>
        </w:rPr>
        <w:t>, le</w:t>
      </w:r>
      <w:r w:rsidR="0079484F" w:rsidRPr="00520BB1">
        <w:rPr>
          <w:rFonts w:asciiTheme="minorHAnsi" w:hAnsiTheme="minorHAnsi" w:cstheme="minorHAnsi"/>
          <w:w w:val="100"/>
          <w:sz w:val="20"/>
          <w:szCs w:val="20"/>
        </w:rPr>
        <w:t>s statuts</w:t>
      </w:r>
      <w:r w:rsidRPr="00520BB1">
        <w:rPr>
          <w:rFonts w:asciiTheme="minorHAnsi" w:hAnsiTheme="minorHAnsi" w:cstheme="minorHAnsi"/>
          <w:w w:val="100"/>
          <w:sz w:val="20"/>
          <w:szCs w:val="20"/>
        </w:rPr>
        <w:t xml:space="preserve"> débute</w:t>
      </w:r>
      <w:r w:rsidR="0079484F" w:rsidRPr="00520BB1">
        <w:rPr>
          <w:rFonts w:asciiTheme="minorHAnsi" w:hAnsiTheme="minorHAnsi" w:cstheme="minorHAnsi"/>
          <w:w w:val="100"/>
          <w:sz w:val="20"/>
          <w:szCs w:val="20"/>
        </w:rPr>
        <w:t>nt</w:t>
      </w:r>
      <w:r w:rsidRPr="00520BB1">
        <w:rPr>
          <w:rFonts w:asciiTheme="minorHAnsi" w:hAnsiTheme="minorHAnsi" w:cstheme="minorHAnsi"/>
          <w:w w:val="100"/>
          <w:sz w:val="20"/>
          <w:szCs w:val="20"/>
        </w:rPr>
        <w:t xml:space="preserve"> par les avertissements suivants :</w:t>
      </w:r>
      <w:r w:rsidRPr="00520BB1">
        <w:rPr>
          <w:rFonts w:asciiTheme="minorHAnsi" w:hAnsiTheme="minorHAnsi" w:cstheme="minorHAnsi"/>
          <w:b/>
          <w:bCs/>
          <w:i/>
          <w:iCs/>
          <w:w w:val="100"/>
          <w:sz w:val="20"/>
          <w:szCs w:val="20"/>
        </w:rPr>
        <w:t xml:space="preserve"> </w:t>
      </w: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8900"/>
      </w:tblGrid>
      <w:tr w:rsidR="00931174" w:rsidRPr="00520BB1" w14:paraId="4F5FF41F" w14:textId="77777777" w:rsidTr="005535DB">
        <w:trPr>
          <w:trHeight w:val="2294"/>
          <w:jc w:val="right"/>
        </w:trPr>
        <w:tc>
          <w:tcPr>
            <w:tcW w:w="89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530C88CC" w14:textId="77777777" w:rsidR="00931174" w:rsidRPr="00520BB1" w:rsidRDefault="00931174" w:rsidP="00AD4870">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bCs/>
                <w:i/>
                <w:iCs/>
                <w:w w:val="100"/>
                <w:sz w:val="20"/>
                <w:szCs w:val="20"/>
              </w:rPr>
            </w:pPr>
            <w:r w:rsidRPr="00520BB1">
              <w:rPr>
                <w:rFonts w:asciiTheme="minorHAnsi" w:hAnsiTheme="minorHAnsi" w:cstheme="minorHAnsi"/>
                <w:b/>
                <w:bCs/>
                <w:i/>
                <w:iCs/>
                <w:spacing w:val="-4"/>
                <w:w w:val="100"/>
                <w:sz w:val="20"/>
                <w:szCs w:val="20"/>
              </w:rPr>
              <w:t>« Le FIA X est un</w:t>
            </w:r>
            <w:r w:rsidR="00ED1BFD" w:rsidRPr="00520BB1">
              <w:rPr>
                <w:rFonts w:asciiTheme="minorHAnsi" w:hAnsiTheme="minorHAnsi" w:cstheme="minorHAnsi"/>
                <w:b/>
                <w:bCs/>
                <w:i/>
                <w:iCs/>
                <w:spacing w:val="-4"/>
                <w:w w:val="100"/>
                <w:sz w:val="20"/>
                <w:szCs w:val="20"/>
              </w:rPr>
              <w:t>e</w:t>
            </w:r>
            <w:r w:rsidRPr="00520BB1">
              <w:rPr>
                <w:rFonts w:asciiTheme="minorHAnsi" w:hAnsiTheme="minorHAnsi" w:cstheme="minorHAnsi"/>
                <w:b/>
                <w:bCs/>
                <w:i/>
                <w:iCs/>
                <w:spacing w:val="-4"/>
                <w:w w:val="100"/>
                <w:sz w:val="20"/>
                <w:szCs w:val="20"/>
              </w:rPr>
              <w:t xml:space="preserve"> </w:t>
            </w:r>
            <w:r w:rsidR="003D74AA" w:rsidRPr="00520BB1">
              <w:rPr>
                <w:rFonts w:asciiTheme="minorHAnsi" w:hAnsiTheme="minorHAnsi" w:cstheme="minorHAnsi"/>
                <w:b/>
                <w:bCs/>
                <w:i/>
                <w:iCs/>
                <w:spacing w:val="-4"/>
                <w:w w:val="100"/>
                <w:sz w:val="20"/>
                <w:szCs w:val="20"/>
              </w:rPr>
              <w:t>société de libre partenariat</w:t>
            </w:r>
            <w:r w:rsidRPr="00520BB1">
              <w:rPr>
                <w:rFonts w:asciiTheme="minorHAnsi" w:hAnsiTheme="minorHAnsi" w:cstheme="minorHAnsi"/>
                <w:b/>
                <w:bCs/>
                <w:i/>
                <w:iCs/>
                <w:spacing w:val="-4"/>
                <w:w w:val="100"/>
                <w:sz w:val="20"/>
                <w:szCs w:val="20"/>
              </w:rPr>
              <w:t>. Il s’agit d’un FIA non agréé par l’Autorité des marchés financiers</w:t>
            </w:r>
            <w:r w:rsidR="003F4715" w:rsidRPr="00520BB1">
              <w:rPr>
                <w:rStyle w:val="Appelnotedebasdep"/>
                <w:rFonts w:asciiTheme="minorHAnsi" w:hAnsiTheme="minorHAnsi" w:cstheme="minorHAnsi"/>
                <w:b/>
                <w:bCs/>
                <w:i/>
                <w:iCs/>
                <w:spacing w:val="-4"/>
                <w:w w:val="100"/>
                <w:sz w:val="20"/>
                <w:szCs w:val="20"/>
              </w:rPr>
              <w:footnoteReference w:id="1"/>
            </w:r>
            <w:r w:rsidRPr="00520BB1">
              <w:rPr>
                <w:rFonts w:asciiTheme="minorHAnsi" w:hAnsiTheme="minorHAnsi" w:cstheme="minorHAnsi"/>
                <w:b/>
                <w:bCs/>
                <w:i/>
                <w:iCs/>
                <w:spacing w:val="-4"/>
                <w:w w:val="100"/>
                <w:sz w:val="20"/>
                <w:szCs w:val="20"/>
              </w:rPr>
              <w:t xml:space="preserve"> dont les règles de fonctionnement sont fixées par </w:t>
            </w:r>
            <w:r w:rsidR="00C217DA" w:rsidRPr="00520BB1">
              <w:rPr>
                <w:rFonts w:asciiTheme="minorHAnsi" w:hAnsiTheme="minorHAnsi" w:cstheme="minorHAnsi"/>
                <w:b/>
                <w:bCs/>
                <w:i/>
                <w:iCs/>
                <w:spacing w:val="-4"/>
                <w:w w:val="100"/>
                <w:sz w:val="20"/>
                <w:szCs w:val="20"/>
              </w:rPr>
              <w:t>s</w:t>
            </w:r>
            <w:r w:rsidRPr="00520BB1">
              <w:rPr>
                <w:rFonts w:asciiTheme="minorHAnsi" w:hAnsiTheme="minorHAnsi" w:cstheme="minorHAnsi"/>
                <w:b/>
                <w:bCs/>
                <w:i/>
                <w:iCs/>
                <w:spacing w:val="-4"/>
                <w:w w:val="100"/>
                <w:sz w:val="20"/>
                <w:szCs w:val="20"/>
              </w:rPr>
              <w:t>e</w:t>
            </w:r>
            <w:r w:rsidR="00ED1BFD" w:rsidRPr="00520BB1">
              <w:rPr>
                <w:rFonts w:asciiTheme="minorHAnsi" w:hAnsiTheme="minorHAnsi" w:cstheme="minorHAnsi"/>
                <w:b/>
                <w:bCs/>
                <w:i/>
                <w:iCs/>
                <w:spacing w:val="-4"/>
                <w:w w:val="100"/>
                <w:sz w:val="20"/>
                <w:szCs w:val="20"/>
              </w:rPr>
              <w:t>s</w:t>
            </w:r>
            <w:r w:rsidR="00C217DA" w:rsidRPr="00520BB1">
              <w:rPr>
                <w:rFonts w:asciiTheme="minorHAnsi" w:hAnsiTheme="minorHAnsi" w:cstheme="minorHAnsi"/>
                <w:b/>
                <w:bCs/>
                <w:i/>
                <w:iCs/>
                <w:spacing w:val="-4"/>
                <w:w w:val="100"/>
                <w:sz w:val="20"/>
                <w:szCs w:val="20"/>
              </w:rPr>
              <w:t xml:space="preserve"> s</w:t>
            </w:r>
            <w:r w:rsidR="00ED1BFD" w:rsidRPr="00520BB1">
              <w:rPr>
                <w:rFonts w:asciiTheme="minorHAnsi" w:hAnsiTheme="minorHAnsi" w:cstheme="minorHAnsi"/>
                <w:b/>
                <w:bCs/>
                <w:i/>
                <w:iCs/>
                <w:spacing w:val="-4"/>
                <w:w w:val="100"/>
                <w:sz w:val="20"/>
                <w:szCs w:val="20"/>
              </w:rPr>
              <w:t>tatuts</w:t>
            </w:r>
            <w:r w:rsidRPr="00520BB1">
              <w:rPr>
                <w:rFonts w:asciiTheme="minorHAnsi" w:hAnsiTheme="minorHAnsi" w:cstheme="minorHAnsi"/>
                <w:b/>
                <w:bCs/>
                <w:i/>
                <w:iCs/>
                <w:spacing w:val="-4"/>
                <w:w w:val="100"/>
                <w:sz w:val="20"/>
                <w:szCs w:val="20"/>
              </w:rPr>
              <w:t>. Avant d’investir dans ce</w:t>
            </w:r>
            <w:r w:rsidR="00ED1BFD" w:rsidRPr="00520BB1">
              <w:rPr>
                <w:rFonts w:asciiTheme="minorHAnsi" w:hAnsiTheme="minorHAnsi" w:cstheme="minorHAnsi"/>
                <w:b/>
                <w:bCs/>
                <w:i/>
                <w:iCs/>
                <w:spacing w:val="-4"/>
                <w:w w:val="100"/>
                <w:sz w:val="20"/>
                <w:szCs w:val="20"/>
              </w:rPr>
              <w:t>tte</w:t>
            </w:r>
            <w:r w:rsidRPr="00520BB1">
              <w:rPr>
                <w:rFonts w:asciiTheme="minorHAnsi" w:hAnsiTheme="minorHAnsi" w:cstheme="minorHAnsi"/>
                <w:b/>
                <w:bCs/>
                <w:i/>
                <w:iCs/>
                <w:spacing w:val="-4"/>
                <w:w w:val="100"/>
                <w:sz w:val="20"/>
                <w:szCs w:val="20"/>
              </w:rPr>
              <w:t xml:space="preserve"> </w:t>
            </w:r>
            <w:r w:rsidR="003D74AA" w:rsidRPr="00520BB1">
              <w:rPr>
                <w:rFonts w:asciiTheme="minorHAnsi" w:hAnsiTheme="minorHAnsi" w:cstheme="minorHAnsi"/>
                <w:b/>
                <w:bCs/>
                <w:i/>
                <w:iCs/>
                <w:spacing w:val="-4"/>
                <w:w w:val="100"/>
                <w:sz w:val="20"/>
                <w:szCs w:val="20"/>
              </w:rPr>
              <w:t>société de libre partenariat</w:t>
            </w:r>
            <w:r w:rsidRPr="00520BB1">
              <w:rPr>
                <w:rFonts w:asciiTheme="minorHAnsi" w:hAnsiTheme="minorHAnsi" w:cstheme="minorHAnsi"/>
                <w:b/>
                <w:bCs/>
                <w:i/>
                <w:iCs/>
                <w:spacing w:val="-4"/>
                <w:w w:val="100"/>
                <w:sz w:val="20"/>
                <w:szCs w:val="20"/>
              </w:rPr>
              <w:t xml:space="preserve">, vous devez comprendre comment </w:t>
            </w:r>
            <w:r w:rsidR="00ED1BFD" w:rsidRPr="00520BB1">
              <w:rPr>
                <w:rFonts w:asciiTheme="minorHAnsi" w:hAnsiTheme="minorHAnsi" w:cstheme="minorHAnsi"/>
                <w:b/>
                <w:bCs/>
                <w:i/>
                <w:iCs/>
                <w:spacing w:val="-4"/>
                <w:w w:val="100"/>
                <w:sz w:val="20"/>
                <w:szCs w:val="20"/>
              </w:rPr>
              <w:t>elle</w:t>
            </w:r>
            <w:r w:rsidRPr="00520BB1">
              <w:rPr>
                <w:rFonts w:asciiTheme="minorHAnsi" w:hAnsiTheme="minorHAnsi" w:cstheme="minorHAnsi"/>
                <w:b/>
                <w:bCs/>
                <w:i/>
                <w:iCs/>
                <w:spacing w:val="-4"/>
                <w:w w:val="100"/>
                <w:sz w:val="20"/>
                <w:szCs w:val="20"/>
              </w:rPr>
              <w:t xml:space="preserve"> sera géré</w:t>
            </w:r>
            <w:r w:rsidR="00ED1BFD" w:rsidRPr="00520BB1">
              <w:rPr>
                <w:rFonts w:asciiTheme="minorHAnsi" w:hAnsiTheme="minorHAnsi" w:cstheme="minorHAnsi"/>
                <w:b/>
                <w:bCs/>
                <w:i/>
                <w:iCs/>
                <w:spacing w:val="-4"/>
                <w:w w:val="100"/>
                <w:sz w:val="20"/>
                <w:szCs w:val="20"/>
              </w:rPr>
              <w:t>e</w:t>
            </w:r>
            <w:r w:rsidRPr="00520BB1">
              <w:rPr>
                <w:rFonts w:asciiTheme="minorHAnsi" w:hAnsiTheme="minorHAnsi" w:cstheme="minorHAnsi"/>
                <w:b/>
                <w:bCs/>
                <w:i/>
                <w:iCs/>
                <w:spacing w:val="-4"/>
                <w:w w:val="100"/>
                <w:sz w:val="20"/>
                <w:szCs w:val="20"/>
              </w:rPr>
              <w:t xml:space="preserve"> et quels sont les risques particuliers liés à la gestion mise en œuvre. En particulier, </w:t>
            </w:r>
            <w:r w:rsidRPr="00520BB1">
              <w:rPr>
                <w:rFonts w:asciiTheme="minorHAnsi" w:hAnsiTheme="minorHAnsi" w:cstheme="minorHAnsi"/>
                <w:b/>
                <w:bCs/>
                <w:i/>
                <w:iCs/>
                <w:w w:val="100"/>
                <w:sz w:val="20"/>
                <w:szCs w:val="20"/>
              </w:rPr>
              <w:t>vous devez prendre connaissance des conditions et des modalités particulières de fonctionnement et de gestion de ce</w:t>
            </w:r>
            <w:r w:rsidR="00ED1BFD" w:rsidRPr="00520BB1">
              <w:rPr>
                <w:rFonts w:asciiTheme="minorHAnsi" w:hAnsiTheme="minorHAnsi" w:cstheme="minorHAnsi"/>
                <w:b/>
                <w:bCs/>
                <w:i/>
                <w:iCs/>
                <w:w w:val="100"/>
                <w:sz w:val="20"/>
                <w:szCs w:val="20"/>
              </w:rPr>
              <w:t>tte</w:t>
            </w:r>
            <w:r w:rsidRPr="00520BB1">
              <w:rPr>
                <w:rFonts w:asciiTheme="minorHAnsi" w:hAnsiTheme="minorHAnsi" w:cstheme="minorHAnsi"/>
                <w:b/>
                <w:bCs/>
                <w:i/>
                <w:iCs/>
                <w:w w:val="100"/>
                <w:sz w:val="20"/>
                <w:szCs w:val="20"/>
              </w:rPr>
              <w:t xml:space="preserve"> </w:t>
            </w:r>
            <w:r w:rsidR="003D74AA" w:rsidRPr="00520BB1">
              <w:rPr>
                <w:rFonts w:asciiTheme="minorHAnsi" w:hAnsiTheme="minorHAnsi" w:cstheme="minorHAnsi"/>
                <w:b/>
                <w:bCs/>
                <w:i/>
                <w:iCs/>
                <w:w w:val="100"/>
                <w:sz w:val="20"/>
                <w:szCs w:val="20"/>
              </w:rPr>
              <w:t>société de libre partenariat</w:t>
            </w:r>
            <w:r w:rsidRPr="00520BB1">
              <w:rPr>
                <w:rFonts w:asciiTheme="minorHAnsi" w:hAnsiTheme="minorHAnsi" w:cstheme="minorHAnsi"/>
                <w:b/>
                <w:bCs/>
                <w:i/>
                <w:iCs/>
                <w:w w:val="100"/>
                <w:sz w:val="20"/>
                <w:szCs w:val="20"/>
              </w:rPr>
              <w:t>:</w:t>
            </w:r>
          </w:p>
          <w:p w14:paraId="22E8D8AC" w14:textId="77777777" w:rsidR="00931174" w:rsidRPr="00520BB1" w:rsidRDefault="00931174" w:rsidP="00AD4870">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bCs/>
                <w:i/>
                <w:iCs/>
                <w:w w:val="100"/>
                <w:sz w:val="20"/>
                <w:szCs w:val="20"/>
              </w:rPr>
            </w:pPr>
            <w:r w:rsidRPr="00520BB1">
              <w:rPr>
                <w:rFonts w:asciiTheme="minorHAnsi" w:hAnsiTheme="minorHAnsi" w:cstheme="minorHAnsi"/>
                <w:b/>
                <w:bCs/>
                <w:i/>
                <w:iCs/>
                <w:w w:val="100"/>
                <w:sz w:val="20"/>
                <w:szCs w:val="20"/>
              </w:rPr>
              <w:t>- Règles d’investissement et d’engagement ;</w:t>
            </w:r>
          </w:p>
          <w:p w14:paraId="59CCFACD" w14:textId="6EA17AAA" w:rsidR="00931174" w:rsidRPr="00520BB1" w:rsidRDefault="00931174" w:rsidP="00AD4870">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bCs/>
                <w:i/>
                <w:iCs/>
                <w:w w:val="100"/>
                <w:sz w:val="20"/>
                <w:szCs w:val="20"/>
              </w:rPr>
            </w:pPr>
            <w:r w:rsidRPr="00520BB1">
              <w:rPr>
                <w:rFonts w:asciiTheme="minorHAnsi" w:hAnsiTheme="minorHAnsi" w:cstheme="minorHAnsi"/>
                <w:b/>
                <w:bCs/>
                <w:i/>
                <w:iCs/>
                <w:w w:val="100"/>
                <w:sz w:val="20"/>
                <w:szCs w:val="20"/>
              </w:rPr>
              <w:t>- Conditions et modalités des souscriptions, acquisitions</w:t>
            </w:r>
            <w:r w:rsidR="004648E6" w:rsidRPr="00520BB1">
              <w:rPr>
                <w:rFonts w:asciiTheme="minorHAnsi" w:hAnsiTheme="minorHAnsi" w:cstheme="minorHAnsi"/>
                <w:b/>
                <w:bCs/>
                <w:i/>
                <w:iCs/>
                <w:w w:val="100"/>
                <w:sz w:val="20"/>
                <w:szCs w:val="20"/>
              </w:rPr>
              <w:t xml:space="preserve"> et</w:t>
            </w:r>
            <w:r w:rsidRPr="00520BB1">
              <w:rPr>
                <w:rFonts w:asciiTheme="minorHAnsi" w:hAnsiTheme="minorHAnsi" w:cstheme="minorHAnsi"/>
                <w:b/>
                <w:bCs/>
                <w:i/>
                <w:iCs/>
                <w:w w:val="100"/>
                <w:sz w:val="20"/>
                <w:szCs w:val="20"/>
              </w:rPr>
              <w:t xml:space="preserve"> rachats des parts;</w:t>
            </w:r>
          </w:p>
          <w:p w14:paraId="27BE6CC8" w14:textId="43EBCC2F" w:rsidR="00931174" w:rsidRPr="00520BB1" w:rsidRDefault="00931174" w:rsidP="0075004A">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bCs/>
                <w:i/>
                <w:iCs/>
                <w:sz w:val="20"/>
                <w:szCs w:val="20"/>
              </w:rPr>
            </w:pPr>
            <w:r w:rsidRPr="00520BB1">
              <w:rPr>
                <w:rFonts w:asciiTheme="minorHAnsi" w:hAnsiTheme="minorHAnsi" w:cstheme="minorHAnsi"/>
                <w:b/>
                <w:bCs/>
                <w:i/>
                <w:iCs/>
                <w:w w:val="100"/>
                <w:sz w:val="20"/>
                <w:szCs w:val="20"/>
              </w:rPr>
              <w:t>Ces conditions et modalités sont énoncées dans les statuts d</w:t>
            </w:r>
            <w:r w:rsidR="0075004A" w:rsidRPr="00520BB1">
              <w:rPr>
                <w:rFonts w:asciiTheme="minorHAnsi" w:hAnsiTheme="minorHAnsi" w:cstheme="minorHAnsi"/>
                <w:b/>
                <w:bCs/>
                <w:i/>
                <w:iCs/>
                <w:w w:val="100"/>
                <w:sz w:val="20"/>
                <w:szCs w:val="20"/>
              </w:rPr>
              <w:t xml:space="preserve">e la </w:t>
            </w:r>
            <w:r w:rsidR="003D74AA" w:rsidRPr="00520BB1">
              <w:rPr>
                <w:rFonts w:asciiTheme="minorHAnsi" w:hAnsiTheme="minorHAnsi" w:cstheme="minorHAnsi"/>
                <w:b/>
                <w:bCs/>
                <w:i/>
                <w:iCs/>
                <w:w w:val="100"/>
                <w:sz w:val="20"/>
                <w:szCs w:val="20"/>
              </w:rPr>
              <w:t>société de libre partenariat</w:t>
            </w:r>
            <w:r w:rsidR="00DA44CE" w:rsidRPr="00520BB1">
              <w:rPr>
                <w:rFonts w:asciiTheme="minorHAnsi" w:hAnsiTheme="minorHAnsi" w:cstheme="minorHAnsi"/>
                <w:b/>
                <w:bCs/>
                <w:i/>
                <w:iCs/>
                <w:w w:val="100"/>
                <w:sz w:val="20"/>
                <w:szCs w:val="20"/>
              </w:rPr>
              <w:t xml:space="preserve">, </w:t>
            </w:r>
            <w:r w:rsidRPr="00520BB1">
              <w:rPr>
                <w:rFonts w:asciiTheme="minorHAnsi" w:hAnsiTheme="minorHAnsi" w:cstheme="minorHAnsi"/>
                <w:b/>
                <w:bCs/>
                <w:i/>
                <w:iCs/>
                <w:w w:val="100"/>
                <w:sz w:val="20"/>
                <w:szCs w:val="20"/>
              </w:rPr>
              <w:t>de même que les conditions dans lesquelles les statuts peuvent être modifiés. »</w:t>
            </w:r>
          </w:p>
        </w:tc>
      </w:tr>
    </w:tbl>
    <w:p w14:paraId="2F251D55" w14:textId="77777777" w:rsidR="00931174" w:rsidRPr="00520BB1" w:rsidRDefault="00931174" w:rsidP="009311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w w:val="100"/>
          <w:sz w:val="20"/>
          <w:szCs w:val="20"/>
        </w:rPr>
      </w:pPr>
      <w:r w:rsidRPr="00520BB1">
        <w:rPr>
          <w:rFonts w:asciiTheme="minorHAnsi" w:hAnsiTheme="minorHAnsi" w:cstheme="minorHAnsi"/>
          <w:w w:val="100"/>
          <w:sz w:val="20"/>
          <w:szCs w:val="20"/>
        </w:rPr>
        <w:t xml:space="preserve"> </w:t>
      </w:r>
    </w:p>
    <w:p w14:paraId="3DE31813" w14:textId="77777777" w:rsidR="00931174" w:rsidRPr="00520BB1" w:rsidRDefault="00931174" w:rsidP="009311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w w:val="100"/>
          <w:sz w:val="20"/>
          <w:szCs w:val="20"/>
        </w:rPr>
      </w:pPr>
      <w:r w:rsidRPr="00520BB1">
        <w:rPr>
          <w:rFonts w:asciiTheme="minorHAnsi" w:hAnsiTheme="minorHAnsi" w:cstheme="minorHAnsi"/>
          <w:w w:val="100"/>
          <w:sz w:val="20"/>
          <w:szCs w:val="20"/>
        </w:rPr>
        <w:t xml:space="preserve"> </w:t>
      </w: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8900"/>
      </w:tblGrid>
      <w:tr w:rsidR="00931174" w:rsidRPr="00520BB1" w14:paraId="6DCD1B7E" w14:textId="77777777" w:rsidTr="00AD4870">
        <w:trPr>
          <w:trHeight w:val="600"/>
          <w:jc w:val="right"/>
        </w:trPr>
        <w:tc>
          <w:tcPr>
            <w:tcW w:w="89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4C1F74B5" w14:textId="77777777" w:rsidR="00931174" w:rsidRPr="00520BB1" w:rsidRDefault="00931174" w:rsidP="00ED1BFD">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z w:val="20"/>
                <w:szCs w:val="20"/>
              </w:rPr>
            </w:pPr>
            <w:r w:rsidRPr="00520BB1">
              <w:rPr>
                <w:rFonts w:asciiTheme="minorHAnsi" w:hAnsiTheme="minorHAnsi" w:cstheme="minorHAnsi"/>
                <w:b/>
                <w:bCs/>
                <w:i/>
                <w:iCs/>
                <w:w w:val="100"/>
                <w:sz w:val="20"/>
                <w:szCs w:val="20"/>
              </w:rPr>
              <w:t>« Seules les personnes mentionnées à la rubrique « souscripteurs concernés » peuvent souscrire ou acquérir des parts d</w:t>
            </w:r>
            <w:r w:rsidR="00ED1BFD" w:rsidRPr="00520BB1">
              <w:rPr>
                <w:rFonts w:asciiTheme="minorHAnsi" w:hAnsiTheme="minorHAnsi" w:cstheme="minorHAnsi"/>
                <w:b/>
                <w:bCs/>
                <w:i/>
                <w:iCs/>
                <w:w w:val="100"/>
                <w:sz w:val="20"/>
                <w:szCs w:val="20"/>
              </w:rPr>
              <w:t>e la</w:t>
            </w:r>
            <w:r w:rsidRPr="00520BB1">
              <w:rPr>
                <w:rFonts w:asciiTheme="minorHAnsi" w:hAnsiTheme="minorHAnsi" w:cstheme="minorHAnsi"/>
                <w:b/>
                <w:bCs/>
                <w:i/>
                <w:iCs/>
                <w:w w:val="100"/>
                <w:sz w:val="20"/>
                <w:szCs w:val="20"/>
              </w:rPr>
              <w:t xml:space="preserve"> </w:t>
            </w:r>
            <w:r w:rsidR="003D74AA" w:rsidRPr="00520BB1">
              <w:rPr>
                <w:rFonts w:asciiTheme="minorHAnsi" w:hAnsiTheme="minorHAnsi" w:cstheme="minorHAnsi"/>
                <w:b/>
                <w:bCs/>
                <w:i/>
                <w:iCs/>
                <w:w w:val="100"/>
                <w:sz w:val="20"/>
                <w:szCs w:val="20"/>
              </w:rPr>
              <w:t>société de libre partenariat</w:t>
            </w:r>
            <w:r w:rsidRPr="00520BB1">
              <w:rPr>
                <w:rFonts w:asciiTheme="minorHAnsi" w:hAnsiTheme="minorHAnsi" w:cstheme="minorHAnsi"/>
                <w:b/>
                <w:bCs/>
                <w:i/>
                <w:iCs/>
                <w:w w:val="100"/>
                <w:sz w:val="20"/>
                <w:szCs w:val="20"/>
              </w:rPr>
              <w:t xml:space="preserve"> X</w:t>
            </w:r>
            <w:r w:rsidRPr="00520BB1">
              <w:rPr>
                <w:rFonts w:asciiTheme="minorHAnsi" w:hAnsiTheme="minorHAnsi" w:cstheme="minorHAnsi"/>
                <w:w w:val="100"/>
                <w:sz w:val="20"/>
                <w:szCs w:val="20"/>
              </w:rPr>
              <w:t xml:space="preserve">. » </w:t>
            </w:r>
          </w:p>
        </w:tc>
      </w:tr>
    </w:tbl>
    <w:p w14:paraId="70A4A582" w14:textId="77777777" w:rsidR="00931174" w:rsidRPr="00520BB1" w:rsidRDefault="00931174" w:rsidP="009311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w w:val="100"/>
          <w:sz w:val="20"/>
          <w:szCs w:val="20"/>
        </w:rPr>
      </w:pPr>
    </w:p>
    <w:p w14:paraId="776E6C6D" w14:textId="77777777" w:rsidR="00931174" w:rsidRPr="00520BB1" w:rsidRDefault="00931174" w:rsidP="00931174">
      <w:pPr>
        <w:pStyle w:val="CelluleIntitul"/>
        <w:widowControl/>
        <w:tabs>
          <w:tab w:val="left" w:pos="0"/>
          <w:tab w:val="left" w:pos="700"/>
          <w:tab w:val="left" w:pos="126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 xml:space="preserve">Par exception, </w:t>
      </w:r>
      <w:r w:rsidR="00ED1BFD" w:rsidRPr="00520BB1">
        <w:rPr>
          <w:rFonts w:asciiTheme="minorHAnsi" w:hAnsiTheme="minorHAnsi" w:cstheme="minorHAnsi"/>
          <w:w w:val="100"/>
          <w:sz w:val="20"/>
          <w:szCs w:val="20"/>
        </w:rPr>
        <w:t>il</w:t>
      </w:r>
      <w:r w:rsidRPr="00520BB1">
        <w:rPr>
          <w:rFonts w:asciiTheme="minorHAnsi" w:hAnsiTheme="minorHAnsi" w:cstheme="minorHAnsi"/>
          <w:w w:val="100"/>
          <w:sz w:val="20"/>
          <w:szCs w:val="20"/>
        </w:rPr>
        <w:t xml:space="preserve"> n’est pas </w:t>
      </w:r>
      <w:r w:rsidR="00ED1BFD" w:rsidRPr="00520BB1">
        <w:rPr>
          <w:rFonts w:asciiTheme="minorHAnsi" w:hAnsiTheme="minorHAnsi" w:cstheme="minorHAnsi"/>
          <w:w w:val="100"/>
          <w:sz w:val="20"/>
          <w:szCs w:val="20"/>
        </w:rPr>
        <w:t xml:space="preserve">nécessaire que ce second avertissement soit </w:t>
      </w:r>
      <w:r w:rsidRPr="00520BB1">
        <w:rPr>
          <w:rFonts w:asciiTheme="minorHAnsi" w:hAnsiTheme="minorHAnsi" w:cstheme="minorHAnsi"/>
          <w:w w:val="100"/>
          <w:sz w:val="20"/>
          <w:szCs w:val="20"/>
        </w:rPr>
        <w:t>mentionné lorsque l</w:t>
      </w:r>
      <w:r w:rsidR="00ED1BFD" w:rsidRPr="00520BB1">
        <w:rPr>
          <w:rFonts w:asciiTheme="minorHAnsi" w:hAnsiTheme="minorHAnsi" w:cstheme="minorHAnsi"/>
          <w:w w:val="100"/>
          <w:sz w:val="20"/>
          <w:szCs w:val="20"/>
        </w:rPr>
        <w:t>a</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xml:space="preserve"> n’est commercialisé</w:t>
      </w:r>
      <w:r w:rsidR="00127FCC" w:rsidRPr="00520BB1">
        <w:rPr>
          <w:rFonts w:asciiTheme="minorHAnsi" w:hAnsiTheme="minorHAnsi" w:cstheme="minorHAnsi"/>
          <w:w w:val="100"/>
          <w:sz w:val="20"/>
          <w:szCs w:val="20"/>
        </w:rPr>
        <w:t>e</w:t>
      </w:r>
      <w:r w:rsidRPr="00520BB1">
        <w:rPr>
          <w:rFonts w:asciiTheme="minorHAnsi" w:hAnsiTheme="minorHAnsi" w:cstheme="minorHAnsi"/>
          <w:w w:val="100"/>
          <w:sz w:val="20"/>
          <w:szCs w:val="20"/>
        </w:rPr>
        <w:t xml:space="preserve"> qu’à l’étranger et que la souscription et l’acquisition des parts de ce</w:t>
      </w:r>
      <w:r w:rsidR="00C14631" w:rsidRPr="00520BB1">
        <w:rPr>
          <w:rFonts w:asciiTheme="minorHAnsi" w:hAnsiTheme="minorHAnsi" w:cstheme="minorHAnsi"/>
          <w:w w:val="100"/>
          <w:sz w:val="20"/>
          <w:szCs w:val="20"/>
        </w:rPr>
        <w:t>tte</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xml:space="preserve"> sont réservées aux investisseurs </w:t>
      </w:r>
      <w:r w:rsidR="00D9701A" w:rsidRPr="00520BB1">
        <w:rPr>
          <w:rFonts w:asciiTheme="minorHAnsi" w:hAnsiTheme="minorHAnsi" w:cstheme="minorHAnsi"/>
          <w:w w:val="100"/>
          <w:sz w:val="20"/>
          <w:szCs w:val="20"/>
        </w:rPr>
        <w:t>non-résidents</w:t>
      </w:r>
      <w:r w:rsidRPr="00520BB1">
        <w:rPr>
          <w:rFonts w:asciiTheme="minorHAnsi" w:hAnsiTheme="minorHAnsi" w:cstheme="minorHAnsi"/>
          <w:w w:val="100"/>
          <w:sz w:val="20"/>
          <w:szCs w:val="20"/>
        </w:rPr>
        <w:t xml:space="preserve"> en France.</w:t>
      </w:r>
    </w:p>
    <w:p w14:paraId="624289B5" w14:textId="08378335" w:rsidR="00931174" w:rsidRPr="00520BB1" w:rsidRDefault="00931174" w:rsidP="00931174">
      <w:pPr>
        <w:pStyle w:val="CelluleIntitul"/>
        <w:widowControl/>
        <w:tabs>
          <w:tab w:val="left" w:pos="0"/>
          <w:tab w:val="left" w:pos="700"/>
          <w:tab w:val="left" w:pos="126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C92CA6F" w14:textId="77777777" w:rsidR="00C9131F" w:rsidRPr="00520BB1" w:rsidRDefault="00C9131F" w:rsidP="00C9131F">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i/>
          <w:w w:val="100"/>
          <w:sz w:val="20"/>
          <w:szCs w:val="20"/>
        </w:rPr>
      </w:pPr>
      <w:r w:rsidRPr="00520BB1">
        <w:rPr>
          <w:rFonts w:asciiTheme="minorHAnsi" w:hAnsiTheme="minorHAnsi" w:cstheme="minorHAnsi"/>
          <w:i/>
          <w:w w:val="100"/>
          <w:sz w:val="20"/>
          <w:szCs w:val="20"/>
        </w:rPr>
        <w:t>(optionnel)</w:t>
      </w:r>
    </w:p>
    <w:p w14:paraId="766CCC54" w14:textId="77777777" w:rsidR="00C9131F" w:rsidRPr="00520BB1" w:rsidRDefault="00C9131F" w:rsidP="00C9131F">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w w:val="100"/>
          <w:sz w:val="20"/>
          <w:szCs w:val="20"/>
        </w:rPr>
      </w:pP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8900"/>
      </w:tblGrid>
      <w:tr w:rsidR="00C9131F" w:rsidRPr="00520BB1" w14:paraId="3F338BDF" w14:textId="77777777" w:rsidTr="00C47908">
        <w:trPr>
          <w:trHeight w:val="600"/>
          <w:jc w:val="right"/>
        </w:trPr>
        <w:tc>
          <w:tcPr>
            <w:tcW w:w="89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46E7A1B6" w14:textId="77777777" w:rsidR="00C9131F" w:rsidRPr="00520BB1" w:rsidRDefault="00C9131F" w:rsidP="00C47908">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z w:val="20"/>
                <w:szCs w:val="20"/>
              </w:rPr>
            </w:pPr>
            <w:r w:rsidRPr="00520BB1">
              <w:rPr>
                <w:rFonts w:asciiTheme="minorHAnsi" w:hAnsiTheme="minorHAnsi" w:cstheme="minorHAnsi"/>
                <w:b/>
                <w:bCs/>
                <w:i/>
                <w:iCs/>
                <w:w w:val="100"/>
                <w:sz w:val="20"/>
                <w:szCs w:val="20"/>
              </w:rPr>
              <w:t xml:space="preserve">« Le FIA X a fait l’objet d’un agrément délivré par l’Autorité des marchés financiers au titre du règlement (UE) 2017/1131. Cet agrément est spécifique au caractère monétaire du FIA X et ne vaut pas agrément du FIA X dans son ensemble. </w:t>
            </w:r>
            <w:r w:rsidRPr="00520BB1">
              <w:rPr>
                <w:rFonts w:asciiTheme="minorHAnsi" w:hAnsiTheme="minorHAnsi" w:cstheme="minorHAnsi"/>
                <w:w w:val="100"/>
                <w:sz w:val="20"/>
                <w:szCs w:val="20"/>
              </w:rPr>
              <w:t xml:space="preserve">» </w:t>
            </w:r>
          </w:p>
        </w:tc>
      </w:tr>
    </w:tbl>
    <w:p w14:paraId="3789D22A" w14:textId="77777777" w:rsidR="00C9131F" w:rsidRPr="00520BB1" w:rsidRDefault="00C9131F" w:rsidP="00C9131F">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w w:val="100"/>
          <w:sz w:val="20"/>
          <w:szCs w:val="20"/>
        </w:rPr>
      </w:pPr>
    </w:p>
    <w:p w14:paraId="3D505B2B" w14:textId="4EF96A8C" w:rsidR="00C9131F" w:rsidRPr="00520BB1" w:rsidRDefault="00C9131F" w:rsidP="00C9131F">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lastRenderedPageBreak/>
        <w:t xml:space="preserve">Ce troisième avertissement n’est ajouté que lorsque </w:t>
      </w:r>
      <w:r w:rsidR="00DF3803" w:rsidRPr="00520BB1">
        <w:rPr>
          <w:rFonts w:asciiTheme="minorHAnsi" w:hAnsiTheme="minorHAnsi" w:cstheme="minorHAnsi"/>
          <w:w w:val="100"/>
          <w:sz w:val="20"/>
          <w:szCs w:val="20"/>
        </w:rPr>
        <w:t xml:space="preserve">la </w:t>
      </w:r>
      <w:r w:rsidR="005E431A" w:rsidRPr="00520BB1">
        <w:rPr>
          <w:rFonts w:asciiTheme="minorHAnsi" w:hAnsiTheme="minorHAnsi" w:cstheme="minorHAnsi"/>
          <w:w w:val="100"/>
          <w:sz w:val="20"/>
          <w:szCs w:val="20"/>
        </w:rPr>
        <w:t>société de libre partenariat</w:t>
      </w:r>
      <w:r w:rsidR="00DF3803" w:rsidRPr="00520BB1">
        <w:rPr>
          <w:rFonts w:asciiTheme="minorHAnsi" w:hAnsiTheme="minorHAnsi" w:cstheme="minorHAnsi"/>
          <w:w w:val="100"/>
          <w:sz w:val="20"/>
          <w:szCs w:val="20"/>
        </w:rPr>
        <w:t xml:space="preserve"> </w:t>
      </w:r>
      <w:r w:rsidRPr="00520BB1">
        <w:rPr>
          <w:rFonts w:asciiTheme="minorHAnsi" w:hAnsiTheme="minorHAnsi" w:cstheme="minorHAnsi"/>
          <w:w w:val="100"/>
          <w:sz w:val="20"/>
          <w:szCs w:val="20"/>
        </w:rPr>
        <w:t>s’est vu</w:t>
      </w:r>
      <w:r w:rsidR="00DF3803" w:rsidRPr="00520BB1">
        <w:rPr>
          <w:rFonts w:asciiTheme="minorHAnsi" w:hAnsiTheme="minorHAnsi" w:cstheme="minorHAnsi"/>
          <w:w w:val="100"/>
          <w:sz w:val="20"/>
          <w:szCs w:val="20"/>
        </w:rPr>
        <w:t>e</w:t>
      </w:r>
      <w:r w:rsidRPr="00520BB1">
        <w:rPr>
          <w:rFonts w:asciiTheme="minorHAnsi" w:hAnsiTheme="minorHAnsi" w:cstheme="minorHAnsi"/>
          <w:w w:val="100"/>
          <w:sz w:val="20"/>
          <w:szCs w:val="20"/>
        </w:rPr>
        <w:t xml:space="preserve"> octroyer un agrément au titre du règlement (UE) 2017/1131.</w:t>
      </w:r>
    </w:p>
    <w:p w14:paraId="54B1501C" w14:textId="77777777" w:rsidR="00C9131F" w:rsidRPr="00520BB1" w:rsidRDefault="00C9131F" w:rsidP="00931174">
      <w:pPr>
        <w:pStyle w:val="CelluleIntitul"/>
        <w:widowControl/>
        <w:tabs>
          <w:tab w:val="left" w:pos="0"/>
          <w:tab w:val="left" w:pos="700"/>
          <w:tab w:val="left" w:pos="126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2DA9C530" w14:textId="48050DCD" w:rsidR="00931174" w:rsidRPr="00520BB1" w:rsidRDefault="00931174" w:rsidP="000468C3">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w w:val="100"/>
          <w:sz w:val="20"/>
          <w:szCs w:val="20"/>
        </w:rPr>
        <w:t>2° Dénomination</w:t>
      </w:r>
      <w:r w:rsidR="00D9701A" w:rsidRPr="00520BB1">
        <w:rPr>
          <w:rFonts w:asciiTheme="minorHAnsi" w:hAnsiTheme="minorHAnsi" w:cstheme="minorHAnsi"/>
          <w:w w:val="100"/>
          <w:sz w:val="20"/>
          <w:szCs w:val="20"/>
        </w:rPr>
        <w:t> </w:t>
      </w:r>
      <w:r w:rsidRPr="00520BB1">
        <w:rPr>
          <w:rFonts w:asciiTheme="minorHAnsi" w:hAnsiTheme="minorHAnsi" w:cstheme="minorHAnsi"/>
          <w:w w:val="100"/>
          <w:sz w:val="20"/>
          <w:szCs w:val="20"/>
        </w:rPr>
        <w:t xml:space="preserve">ou raison sociale, siège social et adresse postale si celle-ci </w:t>
      </w:r>
      <w:r w:rsidRPr="00520BB1">
        <w:rPr>
          <w:rFonts w:asciiTheme="minorHAnsi" w:hAnsiTheme="minorHAnsi" w:cstheme="minorHAnsi"/>
          <w:spacing w:val="-2"/>
          <w:w w:val="100"/>
          <w:sz w:val="20"/>
          <w:szCs w:val="20"/>
        </w:rPr>
        <w:t>est différente</w:t>
      </w:r>
      <w:r w:rsidR="00947E89" w:rsidRPr="00520BB1">
        <w:rPr>
          <w:rFonts w:asciiTheme="minorHAnsi" w:hAnsiTheme="minorHAnsi" w:cstheme="minorHAnsi"/>
          <w:spacing w:val="-2"/>
          <w:w w:val="100"/>
          <w:sz w:val="20"/>
          <w:szCs w:val="20"/>
        </w:rPr>
        <w:t> ;</w:t>
      </w:r>
    </w:p>
    <w:p w14:paraId="64FE9382" w14:textId="77777777" w:rsidR="00931174" w:rsidRPr="00520BB1" w:rsidRDefault="00931174" w:rsidP="009311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Theme="minorHAnsi" w:hAnsiTheme="minorHAnsi" w:cstheme="minorHAnsi"/>
          <w:spacing w:val="-2"/>
          <w:w w:val="100"/>
          <w:sz w:val="20"/>
          <w:szCs w:val="20"/>
        </w:rPr>
      </w:pPr>
    </w:p>
    <w:p w14:paraId="156DD099"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3° Forme juridique et État membre dans lequel l</w:t>
      </w:r>
      <w:r w:rsidR="007F7C94" w:rsidRPr="00520BB1">
        <w:rPr>
          <w:rFonts w:asciiTheme="minorHAnsi" w:hAnsiTheme="minorHAnsi" w:cstheme="minorHAnsi"/>
          <w:w w:val="100"/>
          <w:sz w:val="20"/>
          <w:szCs w:val="20"/>
        </w:rPr>
        <w:t>a</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xml:space="preserve"> a été constitué</w:t>
      </w:r>
      <w:r w:rsidR="00C2019F" w:rsidRPr="00520BB1">
        <w:rPr>
          <w:rFonts w:asciiTheme="minorHAnsi" w:hAnsiTheme="minorHAnsi" w:cstheme="minorHAnsi"/>
          <w:w w:val="100"/>
          <w:sz w:val="20"/>
          <w:szCs w:val="20"/>
        </w:rPr>
        <w:t>e</w:t>
      </w:r>
      <w:r w:rsidRPr="00520BB1">
        <w:rPr>
          <w:rFonts w:asciiTheme="minorHAnsi" w:hAnsiTheme="minorHAnsi" w:cstheme="minorHAnsi"/>
          <w:w w:val="100"/>
          <w:sz w:val="20"/>
          <w:szCs w:val="20"/>
        </w:rPr>
        <w:t> ;</w:t>
      </w:r>
    </w:p>
    <w:p w14:paraId="30E8466A"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59E21943"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4° Date de création et durée d'existence prévue ;</w:t>
      </w:r>
    </w:p>
    <w:p w14:paraId="51F0077D"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05C32B0"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5°</w:t>
      </w:r>
      <w:r w:rsidR="00C14631" w:rsidRPr="00520BB1">
        <w:rPr>
          <w:rFonts w:asciiTheme="minorHAnsi" w:hAnsiTheme="minorHAnsi" w:cstheme="minorHAnsi"/>
          <w:w w:val="100"/>
          <w:sz w:val="20"/>
          <w:szCs w:val="20"/>
        </w:rPr>
        <w:t>, règles d’investissement et d’engagement</w:t>
      </w:r>
      <w:r w:rsidRPr="00520BB1">
        <w:rPr>
          <w:rFonts w:asciiTheme="minorHAnsi" w:hAnsiTheme="minorHAnsi" w:cstheme="minorHAnsi"/>
          <w:w w:val="100"/>
          <w:sz w:val="20"/>
          <w:szCs w:val="20"/>
        </w:rPr>
        <w:t> ;</w:t>
      </w:r>
    </w:p>
    <w:p w14:paraId="6C11291B"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6962E03A"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w w:val="100"/>
          <w:sz w:val="20"/>
          <w:szCs w:val="20"/>
        </w:rPr>
        <w:t>6° Rappel des compartiments</w:t>
      </w:r>
      <w:r w:rsidR="00C14631" w:rsidRPr="00520BB1">
        <w:rPr>
          <w:rFonts w:asciiTheme="minorHAnsi" w:hAnsiTheme="minorHAnsi" w:cstheme="minorHAnsi"/>
          <w:w w:val="100"/>
          <w:sz w:val="20"/>
          <w:szCs w:val="20"/>
        </w:rPr>
        <w:t>,</w:t>
      </w:r>
      <w:r w:rsidRPr="00520BB1">
        <w:rPr>
          <w:rFonts w:asciiTheme="minorHAnsi" w:hAnsiTheme="minorHAnsi" w:cstheme="minorHAnsi"/>
          <w:w w:val="100"/>
          <w:sz w:val="20"/>
          <w:szCs w:val="20"/>
        </w:rPr>
        <w:t xml:space="preserve"> des différentes catégories de parts</w:t>
      </w:r>
      <w:r w:rsidR="007F7C94" w:rsidRPr="00520BB1">
        <w:rPr>
          <w:rFonts w:asciiTheme="minorHAnsi" w:hAnsiTheme="minorHAnsi" w:cstheme="minorHAnsi"/>
          <w:w w:val="100"/>
          <w:sz w:val="20"/>
          <w:szCs w:val="20"/>
        </w:rPr>
        <w:t xml:space="preserve">, des modalités d’émission, de libération </w:t>
      </w:r>
      <w:r w:rsidR="00C14631" w:rsidRPr="00520BB1">
        <w:rPr>
          <w:rFonts w:asciiTheme="minorHAnsi" w:hAnsiTheme="minorHAnsi" w:cstheme="minorHAnsi"/>
          <w:w w:val="100"/>
          <w:sz w:val="20"/>
          <w:szCs w:val="20"/>
        </w:rPr>
        <w:t>et des droits attachés à ces différentes catégories de parts</w:t>
      </w:r>
      <w:r w:rsidRPr="00520BB1">
        <w:rPr>
          <w:rFonts w:asciiTheme="minorHAnsi" w:hAnsiTheme="minorHAnsi" w:cstheme="minorHAnsi"/>
          <w:w w:val="100"/>
          <w:sz w:val="20"/>
          <w:szCs w:val="20"/>
        </w:rPr>
        <w:t xml:space="preserve"> </w:t>
      </w:r>
      <w:r w:rsidRPr="00520BB1">
        <w:rPr>
          <w:rFonts w:asciiTheme="minorHAnsi" w:hAnsiTheme="minorHAnsi" w:cstheme="minorHAnsi"/>
          <w:spacing w:val="-2"/>
          <w:w w:val="100"/>
          <w:sz w:val="20"/>
          <w:szCs w:val="20"/>
        </w:rPr>
        <w:t xml:space="preserve">; </w:t>
      </w:r>
    </w:p>
    <w:p w14:paraId="1140FD32"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053E1EC4" w14:textId="04EF4C71" w:rsidR="00F15AD3" w:rsidRPr="00520BB1" w:rsidRDefault="00F15AD3"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7° Conditions et modalités des souscriptions, acquisitions et rachats des parts</w:t>
      </w:r>
      <w:r w:rsidR="00947E89" w:rsidRPr="00520BB1">
        <w:rPr>
          <w:rFonts w:asciiTheme="minorHAnsi" w:hAnsiTheme="minorHAnsi" w:cstheme="minorHAnsi"/>
          <w:spacing w:val="-2"/>
          <w:w w:val="100"/>
          <w:sz w:val="20"/>
          <w:szCs w:val="20"/>
        </w:rPr>
        <w:t> ;</w:t>
      </w:r>
    </w:p>
    <w:p w14:paraId="3B2EF023" w14:textId="77777777" w:rsidR="00C217DA" w:rsidRPr="00520BB1" w:rsidRDefault="00C217DA"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12BF4BA1" w14:textId="77777777" w:rsidR="00947E89" w:rsidRPr="00520BB1" w:rsidRDefault="00947E89" w:rsidP="00A62FD0">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8° Droits de vote attachés aux parts ;</w:t>
      </w:r>
    </w:p>
    <w:p w14:paraId="4FC51BF4" w14:textId="77777777" w:rsidR="00947E89" w:rsidRPr="00520BB1" w:rsidRDefault="00947E89" w:rsidP="00A62FD0">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57CE4FE2" w14:textId="6B542BCB" w:rsidR="00C404A1" w:rsidRPr="00520BB1" w:rsidRDefault="00C404A1" w:rsidP="00A62FD0">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z w:val="20"/>
          <w:szCs w:val="20"/>
        </w:rPr>
      </w:pPr>
      <w:r w:rsidRPr="00520BB1">
        <w:rPr>
          <w:rFonts w:asciiTheme="minorHAnsi" w:hAnsiTheme="minorHAnsi" w:cstheme="minorHAnsi"/>
          <w:bCs/>
          <w:sz w:val="20"/>
          <w:szCs w:val="20"/>
        </w:rPr>
        <w:t xml:space="preserve">9° </w:t>
      </w:r>
      <w:r w:rsidR="0022315F" w:rsidRPr="00520BB1">
        <w:rPr>
          <w:rFonts w:asciiTheme="minorHAnsi" w:hAnsiTheme="minorHAnsi" w:cstheme="minorHAnsi"/>
          <w:bCs/>
          <w:sz w:val="20"/>
          <w:szCs w:val="20"/>
        </w:rPr>
        <w:t>Information sur les frais ou i</w:t>
      </w:r>
      <w:r w:rsidRPr="00520BB1">
        <w:rPr>
          <w:rFonts w:asciiTheme="minorHAnsi" w:hAnsiTheme="minorHAnsi" w:cstheme="minorHAnsi"/>
          <w:bCs/>
          <w:sz w:val="20"/>
          <w:szCs w:val="20"/>
        </w:rPr>
        <w:t xml:space="preserve">ndication </w:t>
      </w:r>
      <w:r w:rsidR="0022315F" w:rsidRPr="00520BB1">
        <w:rPr>
          <w:rFonts w:asciiTheme="minorHAnsi" w:hAnsiTheme="minorHAnsi" w:cstheme="minorHAnsi"/>
          <w:bCs/>
          <w:sz w:val="20"/>
          <w:szCs w:val="20"/>
        </w:rPr>
        <w:t>sur le</w:t>
      </w:r>
      <w:r w:rsidRPr="00520BB1">
        <w:rPr>
          <w:rFonts w:asciiTheme="minorHAnsi" w:hAnsiTheme="minorHAnsi" w:cstheme="minorHAnsi"/>
          <w:bCs/>
          <w:sz w:val="20"/>
          <w:szCs w:val="20"/>
        </w:rPr>
        <w:t xml:space="preserve"> lieu </w:t>
      </w:r>
      <w:r w:rsidR="003F4715" w:rsidRPr="00520BB1">
        <w:rPr>
          <w:rFonts w:asciiTheme="minorHAnsi" w:hAnsiTheme="minorHAnsi" w:cstheme="minorHAnsi"/>
          <w:bCs/>
          <w:sz w:val="20"/>
          <w:szCs w:val="20"/>
        </w:rPr>
        <w:t>où</w:t>
      </w:r>
      <w:r w:rsidRPr="00520BB1">
        <w:rPr>
          <w:rFonts w:asciiTheme="minorHAnsi" w:hAnsiTheme="minorHAnsi" w:cstheme="minorHAnsi"/>
          <w:bCs/>
          <w:sz w:val="20"/>
          <w:szCs w:val="20"/>
        </w:rPr>
        <w:t xml:space="preserve"> </w:t>
      </w:r>
      <w:r w:rsidR="0022315F" w:rsidRPr="00520BB1">
        <w:rPr>
          <w:rFonts w:asciiTheme="minorHAnsi" w:hAnsiTheme="minorHAnsi" w:cstheme="minorHAnsi"/>
          <w:bCs/>
          <w:sz w:val="20"/>
          <w:szCs w:val="20"/>
        </w:rPr>
        <w:t>se trouve ladite information ;</w:t>
      </w:r>
    </w:p>
    <w:p w14:paraId="20DB6EB0" w14:textId="77777777" w:rsidR="00947E89" w:rsidRPr="00520BB1" w:rsidRDefault="00947E89" w:rsidP="00947E89">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1D322AC2" w14:textId="77777777" w:rsidR="003401AB" w:rsidRPr="00520BB1" w:rsidRDefault="00947E89" w:rsidP="00947E89">
      <w:pPr>
        <w:spacing w:line="240" w:lineRule="auto"/>
        <w:rPr>
          <w:rFonts w:asciiTheme="minorHAnsi" w:hAnsiTheme="minorHAnsi" w:cstheme="minorHAnsi"/>
          <w:sz w:val="20"/>
        </w:rPr>
      </w:pPr>
      <w:r w:rsidRPr="00520BB1">
        <w:rPr>
          <w:rFonts w:asciiTheme="minorHAnsi" w:hAnsiTheme="minorHAnsi" w:cstheme="minorHAnsi"/>
          <w:sz w:val="20"/>
        </w:rPr>
        <w:t>10° Conditions et modalités de modification des statuts</w:t>
      </w:r>
      <w:r w:rsidR="003401AB" w:rsidRPr="00520BB1">
        <w:rPr>
          <w:rFonts w:asciiTheme="minorHAnsi" w:hAnsiTheme="minorHAnsi" w:cstheme="minorHAnsi"/>
          <w:sz w:val="20"/>
        </w:rPr>
        <w:t>, ainsi que formes et conditions des décisions qui doivent être prises collectivement par les associés ;</w:t>
      </w:r>
    </w:p>
    <w:p w14:paraId="289F1FA2" w14:textId="77777777" w:rsidR="00947E89" w:rsidRPr="00520BB1" w:rsidRDefault="00947E89"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7B8D4471" w14:textId="77777777" w:rsidR="00931174" w:rsidRPr="00520BB1" w:rsidRDefault="00947E89"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11</w:t>
      </w:r>
      <w:r w:rsidR="00931174" w:rsidRPr="00520BB1">
        <w:rPr>
          <w:rFonts w:asciiTheme="minorHAnsi" w:hAnsiTheme="minorHAnsi" w:cstheme="minorHAnsi"/>
          <w:w w:val="100"/>
          <w:sz w:val="20"/>
          <w:szCs w:val="20"/>
        </w:rPr>
        <w:t>° Souscripteurs concernés (dans le respect</w:t>
      </w:r>
      <w:r w:rsidR="00DA44CE" w:rsidRPr="00520BB1">
        <w:rPr>
          <w:rFonts w:asciiTheme="minorHAnsi" w:hAnsiTheme="minorHAnsi" w:cstheme="minorHAnsi"/>
          <w:w w:val="100"/>
          <w:sz w:val="20"/>
          <w:szCs w:val="20"/>
        </w:rPr>
        <w:t xml:space="preserve"> </w:t>
      </w:r>
      <w:r w:rsidR="00931174" w:rsidRPr="00520BB1">
        <w:rPr>
          <w:rFonts w:asciiTheme="minorHAnsi" w:hAnsiTheme="minorHAnsi" w:cstheme="minorHAnsi"/>
          <w:w w:val="100"/>
          <w:sz w:val="20"/>
          <w:szCs w:val="20"/>
        </w:rPr>
        <w:t xml:space="preserve">de l’article </w:t>
      </w:r>
      <w:r w:rsidR="000746EB" w:rsidRPr="00520BB1">
        <w:rPr>
          <w:rFonts w:asciiTheme="minorHAnsi" w:hAnsiTheme="minorHAnsi" w:cstheme="minorHAnsi"/>
          <w:w w:val="100"/>
          <w:sz w:val="20"/>
          <w:szCs w:val="20"/>
        </w:rPr>
        <w:t>423-27-1 du règlement général</w:t>
      </w:r>
      <w:r w:rsidR="00127FCC" w:rsidRPr="00520BB1">
        <w:rPr>
          <w:rFonts w:asciiTheme="minorHAnsi" w:hAnsiTheme="minorHAnsi" w:cstheme="minorHAnsi"/>
          <w:w w:val="100"/>
          <w:sz w:val="20"/>
          <w:szCs w:val="20"/>
        </w:rPr>
        <w:t xml:space="preserve"> de l’AMF</w:t>
      </w:r>
      <w:r w:rsidR="00931174" w:rsidRPr="00520BB1">
        <w:rPr>
          <w:rFonts w:asciiTheme="minorHAnsi" w:hAnsiTheme="minorHAnsi" w:cstheme="minorHAnsi"/>
          <w:w w:val="100"/>
          <w:sz w:val="20"/>
          <w:szCs w:val="20"/>
        </w:rPr>
        <w:t>) ;</w:t>
      </w:r>
    </w:p>
    <w:p w14:paraId="7587A4E6" w14:textId="77777777" w:rsidR="00F15AD3" w:rsidRPr="00520BB1" w:rsidRDefault="00F15AD3" w:rsidP="00F15AD3">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6FCE0383" w14:textId="77777777" w:rsidR="000746EB" w:rsidRPr="00520BB1" w:rsidRDefault="00947E89" w:rsidP="000746EB">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12</w:t>
      </w:r>
      <w:r w:rsidR="000746EB" w:rsidRPr="00520BB1">
        <w:rPr>
          <w:rFonts w:asciiTheme="minorHAnsi" w:hAnsiTheme="minorHAnsi" w:cstheme="minorHAnsi"/>
          <w:w w:val="100"/>
          <w:sz w:val="20"/>
          <w:szCs w:val="20"/>
        </w:rPr>
        <w:t xml:space="preserve">° Durée </w:t>
      </w:r>
      <w:r w:rsidRPr="00520BB1">
        <w:rPr>
          <w:rFonts w:asciiTheme="minorHAnsi" w:hAnsiTheme="minorHAnsi" w:cstheme="minorHAnsi"/>
          <w:w w:val="100"/>
          <w:sz w:val="20"/>
          <w:szCs w:val="20"/>
        </w:rPr>
        <w:t>et date de clôture </w:t>
      </w:r>
      <w:r w:rsidR="000746EB" w:rsidRPr="00520BB1">
        <w:rPr>
          <w:rFonts w:asciiTheme="minorHAnsi" w:hAnsiTheme="minorHAnsi" w:cstheme="minorHAnsi"/>
          <w:w w:val="100"/>
          <w:sz w:val="20"/>
          <w:szCs w:val="20"/>
        </w:rPr>
        <w:t>de l’exercice comptable</w:t>
      </w:r>
      <w:r w:rsidRPr="00520BB1">
        <w:rPr>
          <w:rFonts w:asciiTheme="minorHAnsi" w:hAnsiTheme="minorHAnsi" w:cstheme="minorHAnsi"/>
          <w:w w:val="100"/>
          <w:sz w:val="20"/>
          <w:szCs w:val="20"/>
        </w:rPr>
        <w:t xml:space="preserve"> </w:t>
      </w:r>
      <w:r w:rsidR="000746EB" w:rsidRPr="00520BB1">
        <w:rPr>
          <w:rFonts w:asciiTheme="minorHAnsi" w:hAnsiTheme="minorHAnsi" w:cstheme="minorHAnsi"/>
          <w:w w:val="100"/>
          <w:sz w:val="20"/>
          <w:szCs w:val="20"/>
        </w:rPr>
        <w:t>;</w:t>
      </w:r>
    </w:p>
    <w:p w14:paraId="4D69B173"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6AC9622A" w14:textId="77777777" w:rsidR="00931174" w:rsidRPr="00520BB1" w:rsidRDefault="00F15AD3"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4"/>
          <w:w w:val="100"/>
          <w:sz w:val="20"/>
          <w:szCs w:val="20"/>
        </w:rPr>
        <w:t>1</w:t>
      </w:r>
      <w:r w:rsidR="00947E89" w:rsidRPr="00520BB1">
        <w:rPr>
          <w:rFonts w:asciiTheme="minorHAnsi" w:hAnsiTheme="minorHAnsi" w:cstheme="minorHAnsi"/>
          <w:spacing w:val="-4"/>
          <w:w w:val="100"/>
          <w:sz w:val="20"/>
          <w:szCs w:val="20"/>
        </w:rPr>
        <w:t>3</w:t>
      </w:r>
      <w:r w:rsidR="00931174" w:rsidRPr="00520BB1">
        <w:rPr>
          <w:rFonts w:asciiTheme="minorHAnsi" w:hAnsiTheme="minorHAnsi" w:cstheme="minorHAnsi"/>
          <w:spacing w:val="-4"/>
          <w:w w:val="100"/>
          <w:sz w:val="20"/>
          <w:szCs w:val="20"/>
        </w:rPr>
        <w:t xml:space="preserve">° Montant minimum de souscription pour chaque compartiment / type de parts </w:t>
      </w:r>
      <w:r w:rsidR="00931174" w:rsidRPr="00520BB1">
        <w:rPr>
          <w:rFonts w:asciiTheme="minorHAnsi" w:hAnsiTheme="minorHAnsi" w:cstheme="minorHAnsi"/>
          <w:spacing w:val="-2"/>
          <w:w w:val="100"/>
          <w:sz w:val="20"/>
          <w:szCs w:val="20"/>
        </w:rPr>
        <w:t>;</w:t>
      </w:r>
    </w:p>
    <w:p w14:paraId="4AC7D9D9" w14:textId="77777777" w:rsidR="00931174" w:rsidRPr="00520BB1" w:rsidRDefault="00931174" w:rsidP="009311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6FFD2595" w14:textId="77777777" w:rsidR="00931174" w:rsidRPr="00520BB1" w:rsidRDefault="00F15AD3" w:rsidP="009311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1</w:t>
      </w:r>
      <w:r w:rsidR="00947E89" w:rsidRPr="00520BB1">
        <w:rPr>
          <w:rFonts w:asciiTheme="minorHAnsi" w:hAnsiTheme="minorHAnsi" w:cstheme="minorHAnsi"/>
          <w:w w:val="100"/>
          <w:sz w:val="20"/>
          <w:szCs w:val="20"/>
        </w:rPr>
        <w:t>4</w:t>
      </w:r>
      <w:r w:rsidR="00931174" w:rsidRPr="00520BB1">
        <w:rPr>
          <w:rFonts w:asciiTheme="minorHAnsi" w:hAnsiTheme="minorHAnsi" w:cstheme="minorHAnsi"/>
          <w:w w:val="100"/>
          <w:sz w:val="20"/>
          <w:szCs w:val="20"/>
        </w:rPr>
        <w:t>° Code ISIN</w:t>
      </w:r>
      <w:r w:rsidR="009470AB" w:rsidRPr="00520BB1">
        <w:rPr>
          <w:rFonts w:asciiTheme="minorHAnsi" w:hAnsiTheme="minorHAnsi" w:cstheme="minorHAnsi"/>
          <w:w w:val="100"/>
          <w:sz w:val="20"/>
          <w:szCs w:val="20"/>
        </w:rPr>
        <w:t>, le cas échéant</w:t>
      </w:r>
      <w:r w:rsidR="00931174" w:rsidRPr="00520BB1">
        <w:rPr>
          <w:rFonts w:asciiTheme="minorHAnsi" w:hAnsiTheme="minorHAnsi" w:cstheme="minorHAnsi"/>
          <w:w w:val="100"/>
          <w:sz w:val="20"/>
          <w:szCs w:val="20"/>
        </w:rPr>
        <w:t> ;</w:t>
      </w:r>
    </w:p>
    <w:p w14:paraId="5D97B778" w14:textId="77777777" w:rsidR="00947E89" w:rsidRPr="00520BB1" w:rsidRDefault="00947E89" w:rsidP="009311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206657A1" w14:textId="77777777" w:rsidR="00931174" w:rsidRPr="00520BB1" w:rsidRDefault="00931174" w:rsidP="009311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5"/>
          <w:w w:val="100"/>
          <w:sz w:val="20"/>
          <w:szCs w:val="20"/>
        </w:rPr>
      </w:pPr>
      <w:r w:rsidRPr="00520BB1">
        <w:rPr>
          <w:rFonts w:asciiTheme="minorHAnsi" w:hAnsiTheme="minorHAnsi" w:cstheme="minorHAnsi"/>
          <w:spacing w:val="-2"/>
          <w:w w:val="100"/>
          <w:sz w:val="20"/>
          <w:szCs w:val="20"/>
        </w:rPr>
        <w:t>Ces informations</w:t>
      </w:r>
      <w:r w:rsidR="00D9701A" w:rsidRPr="00520BB1">
        <w:rPr>
          <w:rFonts w:asciiTheme="minorHAnsi" w:hAnsiTheme="minorHAnsi" w:cstheme="minorHAnsi"/>
          <w:spacing w:val="-2"/>
          <w:w w:val="100"/>
          <w:sz w:val="20"/>
          <w:szCs w:val="20"/>
        </w:rPr>
        <w:t xml:space="preserve"> </w:t>
      </w:r>
      <w:r w:rsidR="009969C8" w:rsidRPr="00520BB1">
        <w:rPr>
          <w:rFonts w:asciiTheme="minorHAnsi" w:hAnsiTheme="minorHAnsi" w:cstheme="minorHAnsi"/>
          <w:spacing w:val="-2"/>
          <w:w w:val="100"/>
          <w:sz w:val="20"/>
          <w:szCs w:val="20"/>
        </w:rPr>
        <w:t>peuvent être</w:t>
      </w:r>
      <w:r w:rsidRPr="00520BB1">
        <w:rPr>
          <w:rFonts w:asciiTheme="minorHAnsi" w:hAnsiTheme="minorHAnsi" w:cstheme="minorHAnsi"/>
          <w:spacing w:val="-2"/>
          <w:w w:val="100"/>
          <w:sz w:val="20"/>
          <w:szCs w:val="20"/>
        </w:rPr>
        <w:t xml:space="preserve"> présentées sous la forme d’un tableau récapitulatif pour permettre </w:t>
      </w:r>
      <w:r w:rsidRPr="00520BB1">
        <w:rPr>
          <w:rFonts w:asciiTheme="minorHAnsi" w:hAnsiTheme="minorHAnsi" w:cstheme="minorHAnsi"/>
          <w:spacing w:val="-5"/>
          <w:w w:val="100"/>
          <w:sz w:val="20"/>
          <w:szCs w:val="20"/>
        </w:rPr>
        <w:t>une bonne lisibilité de l’ensemble de l’offre de gestion.</w:t>
      </w:r>
    </w:p>
    <w:p w14:paraId="113C7795" w14:textId="77777777" w:rsidR="00931174" w:rsidRPr="00520BB1" w:rsidRDefault="00931174" w:rsidP="009311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5"/>
          <w:w w:val="100"/>
          <w:sz w:val="20"/>
          <w:szCs w:val="20"/>
        </w:rPr>
      </w:pPr>
    </w:p>
    <w:p w14:paraId="57C45C87"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 xml:space="preserve">Exemple : </w:t>
      </w:r>
    </w:p>
    <w:p w14:paraId="231E993C"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60"/>
        <w:gridCol w:w="1780"/>
        <w:gridCol w:w="2460"/>
        <w:gridCol w:w="1680"/>
        <w:gridCol w:w="1680"/>
      </w:tblGrid>
      <w:tr w:rsidR="00931174" w:rsidRPr="00520BB1" w14:paraId="5C9E21E9"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67E965BE" w14:textId="77777777" w:rsidR="00931174" w:rsidRPr="00520BB1" w:rsidRDefault="00931174" w:rsidP="00AD4870">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rPr>
                <w:rFonts w:asciiTheme="minorHAnsi" w:hAnsiTheme="minorHAnsi" w:cstheme="minorHAnsi"/>
                <w:b/>
                <w:bCs/>
                <w:sz w:val="20"/>
                <w:szCs w:val="20"/>
              </w:rPr>
            </w:pPr>
            <w:r w:rsidRPr="00520BB1">
              <w:rPr>
                <w:rFonts w:asciiTheme="minorHAnsi" w:hAnsiTheme="minorHAnsi" w:cstheme="minorHAnsi"/>
                <w:b/>
                <w:bCs/>
                <w:w w:val="100"/>
                <w:sz w:val="20"/>
                <w:szCs w:val="20"/>
              </w:rPr>
              <w:t>Parts</w:t>
            </w:r>
          </w:p>
        </w:tc>
        <w:tc>
          <w:tcPr>
            <w:tcW w:w="7600" w:type="dxa"/>
            <w:gridSpan w:val="4"/>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7FF106C8" w14:textId="77777777" w:rsidR="00931174" w:rsidRPr="00520BB1" w:rsidRDefault="00931174" w:rsidP="00AD4870">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Caractéristiques</w:t>
            </w:r>
          </w:p>
        </w:tc>
      </w:tr>
      <w:tr w:rsidR="00931174" w:rsidRPr="00520BB1" w14:paraId="44304C71"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987E034" w14:textId="77777777" w:rsidR="00931174" w:rsidRPr="00520BB1" w:rsidRDefault="00931174" w:rsidP="00AD4870">
            <w:pPr>
              <w:pStyle w:val="CelluleCourant"/>
              <w:spacing w:line="240" w:lineRule="atLeast"/>
              <w:jc w:val="center"/>
              <w:rPr>
                <w:rFonts w:asciiTheme="minorHAnsi" w:hAnsiTheme="minorHAnsi" w:cstheme="minorHAnsi"/>
                <w:sz w:val="20"/>
                <w:szCs w:val="20"/>
              </w:rPr>
            </w:pPr>
          </w:p>
        </w:tc>
        <w:tc>
          <w:tcPr>
            <w:tcW w:w="17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2CB10EB2"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Code ISIN</w:t>
            </w:r>
            <w:r w:rsidR="00A51757" w:rsidRPr="00520BB1">
              <w:rPr>
                <w:rFonts w:asciiTheme="minorHAnsi" w:hAnsiTheme="minorHAnsi" w:cstheme="minorHAnsi"/>
                <w:b/>
                <w:bCs/>
                <w:spacing w:val="3"/>
                <w:w w:val="100"/>
                <w:sz w:val="20"/>
                <w:szCs w:val="20"/>
              </w:rPr>
              <w:t>, le cas échéant</w:t>
            </w:r>
          </w:p>
        </w:tc>
        <w:tc>
          <w:tcPr>
            <w:tcW w:w="246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1F8D9A68"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Affectation des sommes distribuables</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16695629"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Devise de libellé</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621B1638" w14:textId="77777777" w:rsidR="00931174" w:rsidRPr="00520BB1" w:rsidRDefault="00A51757"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 xml:space="preserve">Décimalisation/ fractionnement </w:t>
            </w:r>
            <w:r w:rsidR="00931174" w:rsidRPr="00520BB1">
              <w:rPr>
                <w:rFonts w:asciiTheme="minorHAnsi" w:hAnsiTheme="minorHAnsi" w:cstheme="minorHAnsi"/>
                <w:b/>
                <w:bCs/>
                <w:spacing w:val="3"/>
                <w:w w:val="100"/>
                <w:sz w:val="20"/>
                <w:szCs w:val="20"/>
              </w:rPr>
              <w:t>Etc.</w:t>
            </w:r>
          </w:p>
        </w:tc>
      </w:tr>
      <w:tr w:rsidR="00931174" w:rsidRPr="00520BB1" w14:paraId="1270FA5B"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F16CB0"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rPr>
                <w:rFonts w:asciiTheme="minorHAnsi" w:hAnsiTheme="minorHAnsi" w:cstheme="minorHAnsi"/>
                <w:sz w:val="20"/>
                <w:szCs w:val="20"/>
              </w:rPr>
            </w:pPr>
            <w:r w:rsidRPr="00520BB1">
              <w:rPr>
                <w:rFonts w:asciiTheme="minorHAnsi" w:hAnsiTheme="minorHAnsi" w:cstheme="minorHAnsi"/>
                <w:spacing w:val="3"/>
                <w:w w:val="100"/>
                <w:sz w:val="20"/>
                <w:szCs w:val="20"/>
              </w:rPr>
              <w:t>A</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7E3430D"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Theme="minorHAnsi" w:hAnsiTheme="minorHAnsi" w:cstheme="minorHAnsi"/>
                <w:sz w:val="20"/>
                <w:szCs w:val="20"/>
              </w:rPr>
            </w:pPr>
            <w:r w:rsidRPr="00520BB1">
              <w:rPr>
                <w:rFonts w:asciiTheme="minorHAnsi" w:hAnsiTheme="minorHAnsi" w:cstheme="minorHAnsi"/>
                <w:w w:val="100"/>
                <w:sz w:val="20"/>
                <w:szCs w:val="20"/>
              </w:rPr>
              <w:t>FR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4901C84"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Theme="minorHAnsi" w:hAnsiTheme="minorHAnsi" w:cstheme="minorHAnsi"/>
                <w:sz w:val="20"/>
                <w:szCs w:val="20"/>
              </w:rPr>
            </w:pPr>
            <w:r w:rsidRPr="00520BB1">
              <w:rPr>
                <w:rFonts w:asciiTheme="minorHAnsi" w:hAnsiTheme="minorHAnsi" w:cstheme="minorHAnsi"/>
                <w:spacing w:val="3"/>
                <w:w w:val="100"/>
                <w:sz w:val="20"/>
                <w:szCs w:val="20"/>
              </w:rPr>
              <w:t>Capitalisation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7A2E924"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Theme="minorHAnsi" w:hAnsiTheme="minorHAnsi" w:cstheme="minorHAnsi"/>
                <w:sz w:val="20"/>
                <w:szCs w:val="20"/>
              </w:rPr>
            </w:pPr>
            <w:r w:rsidRPr="00520BB1">
              <w:rPr>
                <w:rFonts w:asciiTheme="minorHAnsi" w:hAnsiTheme="minorHAnsi" w:cstheme="minorHAnsi"/>
                <w:w w:val="100"/>
                <w:sz w:val="20"/>
                <w:szCs w:val="20"/>
              </w:rPr>
              <w:t>EUR</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FD6E737" w14:textId="77777777" w:rsidR="00931174" w:rsidRPr="00520BB1" w:rsidRDefault="00931174" w:rsidP="00AD4870">
            <w:pPr>
              <w:pStyle w:val="CelluleCourant"/>
              <w:spacing w:line="240" w:lineRule="atLeast"/>
              <w:jc w:val="center"/>
              <w:rPr>
                <w:rFonts w:asciiTheme="minorHAnsi" w:hAnsiTheme="minorHAnsi" w:cstheme="minorHAnsi"/>
                <w:sz w:val="20"/>
                <w:szCs w:val="20"/>
              </w:rPr>
            </w:pPr>
          </w:p>
        </w:tc>
      </w:tr>
      <w:tr w:rsidR="00931174" w:rsidRPr="00520BB1" w14:paraId="46181D4D"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3413294"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rPr>
                <w:rFonts w:asciiTheme="minorHAnsi" w:hAnsiTheme="minorHAnsi" w:cstheme="minorHAnsi"/>
                <w:sz w:val="20"/>
                <w:szCs w:val="20"/>
              </w:rPr>
            </w:pPr>
            <w:r w:rsidRPr="00520BB1">
              <w:rPr>
                <w:rFonts w:asciiTheme="minorHAnsi" w:hAnsiTheme="minorHAnsi" w:cstheme="minorHAnsi"/>
                <w:spacing w:val="3"/>
                <w:w w:val="100"/>
                <w:sz w:val="20"/>
                <w:szCs w:val="20"/>
              </w:rPr>
              <w:t>B</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73E101D"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Theme="minorHAnsi" w:hAnsiTheme="minorHAnsi" w:cstheme="minorHAnsi"/>
                <w:sz w:val="20"/>
                <w:szCs w:val="20"/>
              </w:rPr>
            </w:pPr>
            <w:r w:rsidRPr="00520BB1">
              <w:rPr>
                <w:rFonts w:asciiTheme="minorHAnsi" w:hAnsiTheme="minorHAnsi" w:cstheme="minorHAnsi"/>
                <w:spacing w:val="3"/>
                <w:w w:val="100"/>
                <w:sz w:val="20"/>
                <w:szCs w:val="20"/>
              </w:rPr>
              <w:t>FR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2FCF2CA"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Theme="minorHAnsi" w:hAnsiTheme="minorHAnsi" w:cstheme="minorHAnsi"/>
                <w:sz w:val="20"/>
                <w:szCs w:val="20"/>
              </w:rPr>
            </w:pPr>
            <w:r w:rsidRPr="00520BB1">
              <w:rPr>
                <w:rFonts w:asciiTheme="minorHAnsi" w:hAnsiTheme="minorHAnsi" w:cstheme="minorHAnsi"/>
                <w:spacing w:val="3"/>
                <w:w w:val="100"/>
                <w:sz w:val="20"/>
                <w:szCs w:val="20"/>
              </w:rPr>
              <w:t>Distribution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CFB0973"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Theme="minorHAnsi" w:hAnsiTheme="minorHAnsi" w:cstheme="minorHAnsi"/>
                <w:sz w:val="20"/>
                <w:szCs w:val="20"/>
              </w:rPr>
            </w:pPr>
            <w:r w:rsidRPr="00520BB1">
              <w:rPr>
                <w:rFonts w:asciiTheme="minorHAnsi" w:hAnsiTheme="minorHAnsi" w:cstheme="minorHAnsi"/>
                <w:w w:val="100"/>
                <w:sz w:val="20"/>
                <w:szCs w:val="20"/>
              </w:rPr>
              <w:t>USD</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5A640FE" w14:textId="77777777" w:rsidR="00931174" w:rsidRPr="00520BB1" w:rsidRDefault="00931174" w:rsidP="00AD4870">
            <w:pPr>
              <w:pStyle w:val="CelluleCourant"/>
              <w:spacing w:line="240" w:lineRule="atLeast"/>
              <w:jc w:val="center"/>
              <w:rPr>
                <w:rFonts w:asciiTheme="minorHAnsi" w:hAnsiTheme="minorHAnsi" w:cstheme="minorHAnsi"/>
                <w:sz w:val="20"/>
                <w:szCs w:val="20"/>
              </w:rPr>
            </w:pPr>
          </w:p>
        </w:tc>
      </w:tr>
    </w:tbl>
    <w:p w14:paraId="2628E253"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97F4B58" w14:textId="77777777" w:rsidR="00931174" w:rsidRPr="00520BB1" w:rsidRDefault="00931174" w:rsidP="009311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spacing w:val="-2"/>
          <w:w w:val="100"/>
          <w:sz w:val="20"/>
          <w:szCs w:val="20"/>
        </w:rPr>
        <w:t>Compartiment n° 2 :</w:t>
      </w:r>
      <w:r w:rsidRPr="00520BB1">
        <w:rPr>
          <w:rFonts w:asciiTheme="minorHAnsi" w:hAnsiTheme="minorHAnsi" w:cstheme="minorHAnsi"/>
          <w:w w:val="100"/>
          <w:sz w:val="20"/>
          <w:szCs w:val="2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60"/>
        <w:gridCol w:w="1780"/>
        <w:gridCol w:w="2460"/>
        <w:gridCol w:w="1680"/>
        <w:gridCol w:w="1680"/>
      </w:tblGrid>
      <w:tr w:rsidR="00931174" w:rsidRPr="00520BB1" w14:paraId="210F8CDA"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737A237E"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rPr>
                <w:rFonts w:asciiTheme="minorHAnsi" w:hAnsiTheme="minorHAnsi" w:cstheme="minorHAnsi"/>
                <w:b/>
                <w:bCs/>
                <w:sz w:val="20"/>
                <w:szCs w:val="20"/>
              </w:rPr>
            </w:pPr>
            <w:r w:rsidRPr="00520BB1">
              <w:rPr>
                <w:rFonts w:asciiTheme="minorHAnsi" w:hAnsiTheme="minorHAnsi" w:cstheme="minorHAnsi"/>
                <w:b/>
                <w:bCs/>
                <w:w w:val="100"/>
                <w:sz w:val="20"/>
                <w:szCs w:val="20"/>
              </w:rPr>
              <w:t>Parts</w:t>
            </w:r>
          </w:p>
        </w:tc>
        <w:tc>
          <w:tcPr>
            <w:tcW w:w="7600" w:type="dxa"/>
            <w:gridSpan w:val="4"/>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2FB07F47"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Caractéristiques</w:t>
            </w:r>
          </w:p>
        </w:tc>
      </w:tr>
      <w:tr w:rsidR="00931174" w:rsidRPr="00520BB1" w14:paraId="3AED7F7E"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6C9B5AAA" w14:textId="77777777" w:rsidR="00931174" w:rsidRPr="00520BB1" w:rsidRDefault="00931174" w:rsidP="00AD4870">
            <w:pPr>
              <w:pStyle w:val="CelluleCourant"/>
              <w:spacing w:line="240" w:lineRule="atLeast"/>
              <w:jc w:val="both"/>
              <w:rPr>
                <w:rFonts w:asciiTheme="minorHAnsi" w:hAnsiTheme="minorHAnsi" w:cstheme="minorHAnsi"/>
                <w:sz w:val="20"/>
                <w:szCs w:val="20"/>
              </w:rPr>
            </w:pPr>
          </w:p>
        </w:tc>
        <w:tc>
          <w:tcPr>
            <w:tcW w:w="17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1EF212F0" w14:textId="77777777" w:rsidR="00931174" w:rsidRPr="00520BB1" w:rsidRDefault="00A51757"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Code ISIN, le cas échéant</w:t>
            </w:r>
          </w:p>
        </w:tc>
        <w:tc>
          <w:tcPr>
            <w:tcW w:w="246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47CD394F"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Affectation des sommes distribuables</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271C676A"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Devise de libellé</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07B80D93" w14:textId="77777777" w:rsidR="00931174" w:rsidRPr="00520BB1" w:rsidRDefault="00A51757"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Theme="minorHAnsi" w:hAnsiTheme="minorHAnsi" w:cstheme="minorHAnsi"/>
                <w:b/>
                <w:bCs/>
                <w:sz w:val="20"/>
                <w:szCs w:val="20"/>
              </w:rPr>
            </w:pPr>
            <w:r w:rsidRPr="00520BB1">
              <w:rPr>
                <w:rFonts w:asciiTheme="minorHAnsi" w:hAnsiTheme="minorHAnsi" w:cstheme="minorHAnsi"/>
                <w:b/>
                <w:bCs/>
                <w:spacing w:val="3"/>
                <w:w w:val="100"/>
                <w:sz w:val="20"/>
                <w:szCs w:val="20"/>
              </w:rPr>
              <w:t>Décimalisation/ fractionnement Etc.</w:t>
            </w:r>
          </w:p>
        </w:tc>
      </w:tr>
      <w:tr w:rsidR="00931174" w:rsidRPr="00520BB1" w14:paraId="609F8128"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440DC5D"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jc w:val="both"/>
              <w:rPr>
                <w:rFonts w:asciiTheme="minorHAnsi" w:hAnsiTheme="minorHAnsi" w:cstheme="minorHAnsi"/>
                <w:sz w:val="20"/>
                <w:szCs w:val="20"/>
              </w:rPr>
            </w:pPr>
            <w:r w:rsidRPr="00520BB1">
              <w:rPr>
                <w:rFonts w:asciiTheme="minorHAnsi" w:hAnsiTheme="minorHAnsi" w:cstheme="minorHAnsi"/>
                <w:spacing w:val="3"/>
                <w:w w:val="100"/>
                <w:sz w:val="20"/>
                <w:szCs w:val="20"/>
              </w:rPr>
              <w:lastRenderedPageBreak/>
              <w:t>A</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752C297"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Theme="minorHAnsi" w:hAnsiTheme="minorHAnsi" w:cstheme="minorHAnsi"/>
                <w:sz w:val="20"/>
                <w:szCs w:val="20"/>
              </w:rPr>
            </w:pPr>
            <w:r w:rsidRPr="00520BB1">
              <w:rPr>
                <w:rFonts w:asciiTheme="minorHAnsi" w:hAnsiTheme="minorHAnsi" w:cstheme="minorHAnsi"/>
                <w:w w:val="100"/>
                <w:sz w:val="20"/>
                <w:szCs w:val="20"/>
              </w:rPr>
              <w:t xml:space="preserve">FR .........................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CFFD66D"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Theme="minorHAnsi" w:hAnsiTheme="minorHAnsi" w:cstheme="minorHAnsi"/>
                <w:sz w:val="20"/>
                <w:szCs w:val="20"/>
              </w:rPr>
            </w:pPr>
            <w:r w:rsidRPr="00520BB1">
              <w:rPr>
                <w:rFonts w:asciiTheme="minorHAnsi" w:hAnsiTheme="minorHAnsi" w:cstheme="minorHAnsi"/>
                <w:spacing w:val="3"/>
                <w:w w:val="100"/>
                <w:sz w:val="20"/>
                <w:szCs w:val="20"/>
              </w:rPr>
              <w:t>Capitalisation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DD1D695"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Theme="minorHAnsi" w:hAnsiTheme="minorHAnsi" w:cstheme="minorHAnsi"/>
                <w:sz w:val="20"/>
                <w:szCs w:val="20"/>
              </w:rPr>
            </w:pPr>
            <w:r w:rsidRPr="00520BB1">
              <w:rPr>
                <w:rFonts w:asciiTheme="minorHAnsi" w:hAnsiTheme="minorHAnsi" w:cstheme="minorHAnsi"/>
                <w:w w:val="100"/>
                <w:sz w:val="20"/>
                <w:szCs w:val="20"/>
              </w:rPr>
              <w:t>EUR</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621FACF" w14:textId="77777777" w:rsidR="00931174" w:rsidRPr="00520BB1" w:rsidRDefault="00931174" w:rsidP="00AD4870">
            <w:pPr>
              <w:pStyle w:val="CelluleCourant"/>
              <w:spacing w:line="240" w:lineRule="atLeast"/>
              <w:jc w:val="both"/>
              <w:rPr>
                <w:rFonts w:asciiTheme="minorHAnsi" w:hAnsiTheme="minorHAnsi" w:cstheme="minorHAnsi"/>
                <w:sz w:val="20"/>
                <w:szCs w:val="20"/>
              </w:rPr>
            </w:pPr>
          </w:p>
        </w:tc>
      </w:tr>
      <w:tr w:rsidR="00931174" w:rsidRPr="00520BB1" w14:paraId="14A9CF87" w14:textId="77777777" w:rsidTr="00AD4870">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622AD0F1"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jc w:val="both"/>
              <w:rPr>
                <w:rFonts w:asciiTheme="minorHAnsi" w:hAnsiTheme="minorHAnsi" w:cstheme="minorHAnsi"/>
                <w:sz w:val="20"/>
                <w:szCs w:val="20"/>
              </w:rPr>
            </w:pPr>
            <w:r w:rsidRPr="00520BB1">
              <w:rPr>
                <w:rFonts w:asciiTheme="minorHAnsi" w:hAnsiTheme="minorHAnsi" w:cstheme="minorHAnsi"/>
                <w:spacing w:val="3"/>
                <w:w w:val="100"/>
                <w:sz w:val="20"/>
                <w:szCs w:val="20"/>
              </w:rPr>
              <w:t>B</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F9E9F98"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Theme="minorHAnsi" w:hAnsiTheme="minorHAnsi" w:cstheme="minorHAnsi"/>
                <w:sz w:val="20"/>
                <w:szCs w:val="20"/>
              </w:rPr>
            </w:pPr>
            <w:r w:rsidRPr="00520BB1">
              <w:rPr>
                <w:rFonts w:asciiTheme="minorHAnsi" w:hAnsiTheme="minorHAnsi" w:cstheme="minorHAnsi"/>
                <w:spacing w:val="3"/>
                <w:w w:val="100"/>
                <w:sz w:val="20"/>
                <w:szCs w:val="20"/>
              </w:rPr>
              <w:t>FR .......................</w:t>
            </w:r>
            <w:r w:rsidRPr="00520BB1">
              <w:rPr>
                <w:rFonts w:asciiTheme="minorHAnsi" w:hAnsiTheme="minorHAnsi" w:cstheme="minorHAnsi"/>
                <w:w w:val="100"/>
                <w:sz w:val="20"/>
                <w:szCs w:val="20"/>
              </w:rPr>
              <w:t xml:space="preserve">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35D4F3B"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Theme="minorHAnsi" w:hAnsiTheme="minorHAnsi" w:cstheme="minorHAnsi"/>
                <w:sz w:val="20"/>
                <w:szCs w:val="20"/>
              </w:rPr>
            </w:pPr>
            <w:r w:rsidRPr="00520BB1">
              <w:rPr>
                <w:rFonts w:asciiTheme="minorHAnsi" w:hAnsiTheme="minorHAnsi" w:cstheme="minorHAnsi"/>
                <w:spacing w:val="3"/>
                <w:w w:val="100"/>
                <w:sz w:val="20"/>
                <w:szCs w:val="20"/>
              </w:rPr>
              <w:t>Distribution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DB54913" w14:textId="77777777" w:rsidR="00931174" w:rsidRPr="00520BB1" w:rsidRDefault="00931174" w:rsidP="00AD487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Theme="minorHAnsi" w:hAnsiTheme="minorHAnsi" w:cstheme="minorHAnsi"/>
                <w:sz w:val="20"/>
                <w:szCs w:val="20"/>
              </w:rPr>
            </w:pPr>
            <w:r w:rsidRPr="00520BB1">
              <w:rPr>
                <w:rFonts w:asciiTheme="minorHAnsi" w:hAnsiTheme="minorHAnsi" w:cstheme="minorHAnsi"/>
                <w:w w:val="100"/>
                <w:sz w:val="20"/>
                <w:szCs w:val="20"/>
              </w:rPr>
              <w:t>USD</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EC1320C" w14:textId="77777777" w:rsidR="00931174" w:rsidRPr="00520BB1" w:rsidRDefault="00931174" w:rsidP="00AD4870">
            <w:pPr>
              <w:pStyle w:val="CelluleCourant"/>
              <w:spacing w:line="240" w:lineRule="atLeast"/>
              <w:jc w:val="both"/>
              <w:rPr>
                <w:rFonts w:asciiTheme="minorHAnsi" w:hAnsiTheme="minorHAnsi" w:cstheme="minorHAnsi"/>
                <w:sz w:val="20"/>
                <w:szCs w:val="20"/>
              </w:rPr>
            </w:pPr>
          </w:p>
        </w:tc>
      </w:tr>
    </w:tbl>
    <w:p w14:paraId="518B275D" w14:textId="77777777" w:rsidR="00931174" w:rsidRPr="00520BB1" w:rsidRDefault="00931174" w:rsidP="009311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6271F2E6" w14:textId="77777777" w:rsidR="006622AC" w:rsidRPr="00520BB1" w:rsidRDefault="006622AC" w:rsidP="006622AC">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15° Périodicité minimale et modalités d’établissement de la valeur liquidative ;</w:t>
      </w:r>
    </w:p>
    <w:p w14:paraId="488052C5" w14:textId="77777777" w:rsidR="006622AC" w:rsidRPr="00520BB1" w:rsidRDefault="006622AC" w:rsidP="006622AC">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7DF43B03" w14:textId="77777777" w:rsidR="006622AC" w:rsidRPr="00520BB1" w:rsidRDefault="006622AC" w:rsidP="006622AC">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16° Support et modalités de publication ou de communication de la valeur liquidative ;</w:t>
      </w:r>
    </w:p>
    <w:p w14:paraId="1D88CE10" w14:textId="77777777" w:rsidR="006622AC" w:rsidRPr="00520BB1" w:rsidRDefault="006622AC" w:rsidP="009311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24560BEA" w14:textId="77777777" w:rsidR="006622AC" w:rsidRPr="00520BB1" w:rsidRDefault="006622AC" w:rsidP="006622AC">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17° Conditions de liquidation, de la répartition des actifs et de l’éventuel boni de liquidation ;</w:t>
      </w:r>
    </w:p>
    <w:p w14:paraId="1413CA28" w14:textId="77777777" w:rsidR="006622AC" w:rsidRPr="00520BB1" w:rsidRDefault="006622AC" w:rsidP="009311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563F1235" w14:textId="77777777" w:rsidR="00931174" w:rsidRPr="00520BB1" w:rsidRDefault="00DE095D"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1</w:t>
      </w:r>
      <w:r w:rsidR="006622AC" w:rsidRPr="00520BB1">
        <w:rPr>
          <w:rFonts w:asciiTheme="minorHAnsi" w:hAnsiTheme="minorHAnsi" w:cstheme="minorHAnsi"/>
          <w:spacing w:val="-2"/>
          <w:w w:val="100"/>
          <w:sz w:val="20"/>
          <w:szCs w:val="20"/>
        </w:rPr>
        <w:t>8</w:t>
      </w:r>
      <w:r w:rsidR="00931174" w:rsidRPr="00520BB1">
        <w:rPr>
          <w:rFonts w:asciiTheme="minorHAnsi" w:hAnsiTheme="minorHAnsi" w:cstheme="minorHAnsi"/>
          <w:spacing w:val="-2"/>
          <w:w w:val="100"/>
          <w:sz w:val="20"/>
          <w:szCs w:val="20"/>
        </w:rPr>
        <w:t>° Indication du lieu où l'on peut se procurer les informations périodiques, le dernier rapport annuel, la dernière valeur liquidative d</w:t>
      </w:r>
      <w:r w:rsidR="00A51757" w:rsidRPr="00520BB1">
        <w:rPr>
          <w:rFonts w:asciiTheme="minorHAnsi" w:hAnsiTheme="minorHAnsi" w:cstheme="minorHAnsi"/>
          <w:spacing w:val="-2"/>
          <w:w w:val="100"/>
          <w:sz w:val="20"/>
          <w:szCs w:val="20"/>
        </w:rPr>
        <w:t>e la</w:t>
      </w:r>
      <w:r w:rsidR="00931174" w:rsidRPr="00520BB1">
        <w:rPr>
          <w:rFonts w:asciiTheme="minorHAnsi" w:hAnsiTheme="minorHAnsi" w:cstheme="minorHAnsi"/>
          <w:spacing w:val="-2"/>
          <w:w w:val="100"/>
          <w:sz w:val="20"/>
          <w:szCs w:val="20"/>
        </w:rPr>
        <w:t xml:space="preserve"> </w:t>
      </w:r>
      <w:r w:rsidR="003D74AA" w:rsidRPr="00520BB1">
        <w:rPr>
          <w:rFonts w:asciiTheme="minorHAnsi" w:hAnsiTheme="minorHAnsi" w:cstheme="minorHAnsi"/>
          <w:spacing w:val="-2"/>
          <w:w w:val="100"/>
          <w:sz w:val="20"/>
          <w:szCs w:val="20"/>
        </w:rPr>
        <w:t>société de libre partenariat</w:t>
      </w:r>
      <w:r w:rsidR="00931174" w:rsidRPr="00520BB1">
        <w:rPr>
          <w:rFonts w:asciiTheme="minorHAnsi" w:hAnsiTheme="minorHAnsi" w:cstheme="minorHAnsi"/>
          <w:spacing w:val="-2"/>
          <w:w w:val="100"/>
          <w:sz w:val="20"/>
          <w:szCs w:val="20"/>
        </w:rPr>
        <w:t xml:space="preserve"> ainsi que l’information sur ses performances passées. L</w:t>
      </w:r>
      <w:r w:rsidR="00931174" w:rsidRPr="00520BB1">
        <w:rPr>
          <w:rFonts w:asciiTheme="minorHAnsi" w:hAnsiTheme="minorHAnsi" w:cstheme="minorHAnsi"/>
          <w:spacing w:val="-5"/>
          <w:w w:val="100"/>
          <w:sz w:val="20"/>
          <w:szCs w:val="20"/>
        </w:rPr>
        <w:t xml:space="preserve">es derniers documents annuels et périodiques sont adressés dans un délai d’une semaine </w:t>
      </w:r>
      <w:r w:rsidR="00931174" w:rsidRPr="00520BB1">
        <w:rPr>
          <w:rFonts w:asciiTheme="minorHAnsi" w:hAnsiTheme="minorHAnsi" w:cstheme="minorHAnsi"/>
          <w:spacing w:val="-2"/>
          <w:w w:val="100"/>
          <w:sz w:val="20"/>
          <w:szCs w:val="20"/>
        </w:rPr>
        <w:t>sur simple demande écrite du porteur auprès de :</w:t>
      </w:r>
    </w:p>
    <w:p w14:paraId="4CAA6580"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Raison sociale</w:t>
      </w:r>
    </w:p>
    <w:p w14:paraId="4004CF12"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Adresse</w:t>
      </w:r>
    </w:p>
    <w:p w14:paraId="1388AAC7"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(Tél. éventuellement)</w:t>
      </w:r>
    </w:p>
    <w:p w14:paraId="7D0C4179"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u w:val="thick"/>
        </w:rPr>
      </w:pPr>
      <w:r w:rsidRPr="00520BB1">
        <w:rPr>
          <w:rFonts w:asciiTheme="minorHAnsi" w:hAnsiTheme="minorHAnsi" w:cstheme="minorHAnsi"/>
          <w:i/>
          <w:iCs/>
          <w:w w:val="100"/>
          <w:sz w:val="20"/>
          <w:szCs w:val="20"/>
        </w:rPr>
        <w:t xml:space="preserve">E-mail </w:t>
      </w:r>
      <w:r w:rsidRPr="00520BB1">
        <w:rPr>
          <w:rFonts w:asciiTheme="minorHAnsi" w:hAnsiTheme="minorHAnsi" w:cstheme="minorHAnsi"/>
          <w:w w:val="100"/>
          <w:sz w:val="20"/>
          <w:szCs w:val="20"/>
        </w:rPr>
        <w:t xml:space="preserve">: </w:t>
      </w:r>
      <w:r w:rsidRPr="00520BB1">
        <w:rPr>
          <w:rFonts w:asciiTheme="minorHAnsi" w:hAnsiTheme="minorHAnsi" w:cstheme="minorHAnsi"/>
          <w:w w:val="100"/>
          <w:sz w:val="20"/>
          <w:szCs w:val="20"/>
          <w:u w:val="thick"/>
        </w:rPr>
        <w:t>demande@société.fr</w:t>
      </w:r>
    </w:p>
    <w:p w14:paraId="5A38AD1A"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spacing w:val="-7"/>
          <w:w w:val="100"/>
          <w:sz w:val="20"/>
          <w:szCs w:val="20"/>
        </w:rPr>
        <w:t xml:space="preserve">Ces documents sont également disponibles sur le site </w:t>
      </w:r>
      <w:r w:rsidRPr="00520BB1">
        <w:rPr>
          <w:rFonts w:asciiTheme="minorHAnsi" w:hAnsiTheme="minorHAnsi" w:cstheme="minorHAnsi"/>
          <w:w w:val="100"/>
          <w:sz w:val="20"/>
          <w:szCs w:val="20"/>
          <w:u w:val="thick"/>
        </w:rPr>
        <w:t>www.société.fr</w:t>
      </w:r>
      <w:r w:rsidRPr="00520BB1">
        <w:rPr>
          <w:rFonts w:asciiTheme="minorHAnsi" w:hAnsiTheme="minorHAnsi" w:cstheme="minorHAnsi"/>
          <w:w w:val="100"/>
          <w:sz w:val="20"/>
          <w:szCs w:val="20"/>
        </w:rPr>
        <w:t>, (le cas échéant)</w:t>
      </w:r>
    </w:p>
    <w:p w14:paraId="4B5598E2"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5"/>
          <w:w w:val="100"/>
          <w:sz w:val="20"/>
          <w:szCs w:val="20"/>
        </w:rPr>
      </w:pPr>
      <w:r w:rsidRPr="00520BB1">
        <w:rPr>
          <w:rFonts w:asciiTheme="minorHAnsi" w:hAnsiTheme="minorHAnsi" w:cstheme="minorHAnsi"/>
          <w:spacing w:val="-2"/>
          <w:w w:val="100"/>
          <w:sz w:val="20"/>
          <w:szCs w:val="20"/>
        </w:rPr>
        <w:t>Désignation d'un point de contact (personne/service, moment, etc.)</w:t>
      </w:r>
      <w:r w:rsidR="00603B1F" w:rsidRPr="00520BB1">
        <w:rPr>
          <w:rFonts w:asciiTheme="minorHAnsi" w:hAnsiTheme="minorHAnsi" w:cstheme="minorHAnsi"/>
          <w:spacing w:val="-2"/>
          <w:w w:val="100"/>
          <w:sz w:val="20"/>
          <w:szCs w:val="20"/>
        </w:rPr>
        <w:t xml:space="preserve"> - ou du lieu où obtenir communication de ce point de contact -</w:t>
      </w:r>
      <w:r w:rsidRPr="00520BB1">
        <w:rPr>
          <w:rFonts w:asciiTheme="minorHAnsi" w:hAnsiTheme="minorHAnsi" w:cstheme="minorHAnsi"/>
          <w:spacing w:val="-2"/>
          <w:w w:val="100"/>
          <w:sz w:val="20"/>
          <w:szCs w:val="20"/>
        </w:rPr>
        <w:t xml:space="preserve"> où des explications </w:t>
      </w:r>
      <w:r w:rsidRPr="00520BB1">
        <w:rPr>
          <w:rFonts w:asciiTheme="minorHAnsi" w:hAnsiTheme="minorHAnsi" w:cstheme="minorHAnsi"/>
          <w:spacing w:val="-5"/>
          <w:w w:val="100"/>
          <w:sz w:val="20"/>
          <w:szCs w:val="20"/>
        </w:rPr>
        <w:t>supplémentaires peuvent être obtenues</w:t>
      </w:r>
      <w:r w:rsidR="00C217DA" w:rsidRPr="00520BB1">
        <w:rPr>
          <w:rFonts w:asciiTheme="minorHAnsi" w:hAnsiTheme="minorHAnsi" w:cstheme="minorHAnsi"/>
          <w:spacing w:val="-5"/>
          <w:w w:val="100"/>
          <w:sz w:val="20"/>
          <w:szCs w:val="20"/>
        </w:rPr>
        <w:t>,</w:t>
      </w:r>
      <w:r w:rsidRPr="00520BB1">
        <w:rPr>
          <w:rFonts w:asciiTheme="minorHAnsi" w:hAnsiTheme="minorHAnsi" w:cstheme="minorHAnsi"/>
          <w:spacing w:val="-5"/>
          <w:w w:val="100"/>
          <w:sz w:val="20"/>
          <w:szCs w:val="20"/>
        </w:rPr>
        <w:t xml:space="preserve"> si nécessaire.</w:t>
      </w:r>
    </w:p>
    <w:p w14:paraId="2DD6F928"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5"/>
          <w:w w:val="100"/>
          <w:sz w:val="20"/>
          <w:szCs w:val="20"/>
        </w:rPr>
      </w:pPr>
    </w:p>
    <w:p w14:paraId="2B215251" w14:textId="77777777" w:rsidR="00931174" w:rsidRPr="00520BB1" w:rsidRDefault="00931174" w:rsidP="00931174">
      <w:pPr>
        <w:rPr>
          <w:rFonts w:asciiTheme="minorHAnsi" w:hAnsiTheme="minorHAnsi" w:cstheme="minorHAnsi"/>
          <w:sz w:val="20"/>
        </w:rPr>
      </w:pPr>
      <w:r w:rsidRPr="00520BB1">
        <w:rPr>
          <w:rFonts w:asciiTheme="minorHAnsi" w:hAnsiTheme="minorHAnsi" w:cstheme="minorHAnsi"/>
          <w:sz w:val="20"/>
        </w:rPr>
        <w:t>Mention sur les modalités et les échéances de communication des informations exigées aux IV et V de l’article 421-34 du règlement général de l’AMF.</w:t>
      </w:r>
    </w:p>
    <w:p w14:paraId="385FBEA6"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5"/>
          <w:w w:val="100"/>
          <w:sz w:val="20"/>
          <w:szCs w:val="20"/>
        </w:rPr>
      </w:pPr>
    </w:p>
    <w:p w14:paraId="4C21BC3F" w14:textId="1720F30D" w:rsidR="00931174" w:rsidRPr="00520BB1" w:rsidRDefault="00931174" w:rsidP="00127FCC">
      <w:pPr>
        <w:rPr>
          <w:rFonts w:asciiTheme="minorHAnsi" w:hAnsiTheme="minorHAnsi" w:cstheme="minorHAnsi"/>
          <w:sz w:val="20"/>
        </w:rPr>
      </w:pPr>
      <w:r w:rsidRPr="00520BB1">
        <w:rPr>
          <w:rFonts w:asciiTheme="minorHAnsi" w:hAnsiTheme="minorHAnsi" w:cstheme="minorHAnsi"/>
          <w:sz w:val="20"/>
        </w:rPr>
        <w:t>Si l</w:t>
      </w:r>
      <w:r w:rsidR="00B33661" w:rsidRPr="00520BB1">
        <w:rPr>
          <w:rFonts w:asciiTheme="minorHAnsi" w:hAnsiTheme="minorHAnsi" w:cstheme="minorHAnsi"/>
          <w:sz w:val="20"/>
        </w:rPr>
        <w:t>a</w:t>
      </w:r>
      <w:r w:rsidRPr="00520BB1">
        <w:rPr>
          <w:rFonts w:asciiTheme="minorHAnsi" w:hAnsiTheme="minorHAnsi" w:cstheme="minorHAnsi"/>
          <w:sz w:val="20"/>
        </w:rPr>
        <w:t xml:space="preserve"> </w:t>
      </w:r>
      <w:r w:rsidR="003D74AA" w:rsidRPr="00520BB1">
        <w:rPr>
          <w:rFonts w:asciiTheme="minorHAnsi" w:hAnsiTheme="minorHAnsi" w:cstheme="minorHAnsi"/>
          <w:sz w:val="20"/>
        </w:rPr>
        <w:t>société de libre partenariat</w:t>
      </w:r>
      <w:r w:rsidRPr="00520BB1">
        <w:rPr>
          <w:rFonts w:asciiTheme="minorHAnsi" w:hAnsiTheme="minorHAnsi" w:cstheme="minorHAnsi"/>
          <w:sz w:val="20"/>
        </w:rPr>
        <w:t xml:space="preserve"> est un</w:t>
      </w:r>
      <w:r w:rsidR="00B33661" w:rsidRPr="00520BB1">
        <w:rPr>
          <w:rFonts w:asciiTheme="minorHAnsi" w:hAnsiTheme="minorHAnsi" w:cstheme="minorHAnsi"/>
          <w:sz w:val="20"/>
        </w:rPr>
        <w:t>e</w:t>
      </w:r>
      <w:r w:rsidRPr="00520BB1">
        <w:rPr>
          <w:rFonts w:asciiTheme="minorHAnsi" w:hAnsiTheme="minorHAnsi" w:cstheme="minorHAnsi"/>
          <w:sz w:val="20"/>
        </w:rPr>
        <w:t xml:space="preserve"> </w:t>
      </w:r>
      <w:r w:rsidR="003D74AA" w:rsidRPr="00520BB1">
        <w:rPr>
          <w:rFonts w:asciiTheme="minorHAnsi" w:hAnsiTheme="minorHAnsi" w:cstheme="minorHAnsi"/>
          <w:sz w:val="20"/>
        </w:rPr>
        <w:t>société de libre partenariat</w:t>
      </w:r>
      <w:r w:rsidRPr="00520BB1">
        <w:rPr>
          <w:rFonts w:asciiTheme="minorHAnsi" w:hAnsiTheme="minorHAnsi" w:cstheme="minorHAnsi"/>
          <w:sz w:val="20"/>
        </w:rPr>
        <w:t xml:space="preserve"> nourricier, ajouter la mention suivante : « Les documents d’informations relatifs à l’OPCVM ou au FIA maître .................................... , de droit .................................... , agréé par .................................... , sont disponibles auprès de :</w:t>
      </w:r>
    </w:p>
    <w:p w14:paraId="453FA3D7" w14:textId="77777777" w:rsidR="00931174" w:rsidRPr="00520BB1" w:rsidRDefault="00931174" w:rsidP="00127FCC">
      <w:pPr>
        <w:rPr>
          <w:rFonts w:asciiTheme="minorHAnsi" w:hAnsiTheme="minorHAnsi" w:cstheme="minorHAnsi"/>
          <w:sz w:val="20"/>
        </w:rPr>
      </w:pPr>
      <w:r w:rsidRPr="00520BB1">
        <w:rPr>
          <w:rFonts w:asciiTheme="minorHAnsi" w:hAnsiTheme="minorHAnsi" w:cstheme="minorHAnsi"/>
          <w:sz w:val="20"/>
        </w:rPr>
        <w:t>Raison sociale</w:t>
      </w:r>
    </w:p>
    <w:p w14:paraId="357D389C"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Adresse</w:t>
      </w:r>
    </w:p>
    <w:p w14:paraId="1FF199C8"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(Tél. éventuellement)</w:t>
      </w:r>
    </w:p>
    <w:p w14:paraId="12A550B8"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E-mail</w:t>
      </w:r>
      <w:r w:rsidRPr="00520BB1">
        <w:rPr>
          <w:rFonts w:asciiTheme="minorHAnsi" w:hAnsiTheme="minorHAnsi" w:cstheme="minorHAnsi"/>
          <w:w w:val="100"/>
          <w:sz w:val="20"/>
          <w:szCs w:val="20"/>
        </w:rPr>
        <w:t xml:space="preserve"> : </w:t>
      </w:r>
      <w:r w:rsidRPr="00520BB1">
        <w:rPr>
          <w:rFonts w:asciiTheme="minorHAnsi" w:hAnsiTheme="minorHAnsi" w:cstheme="minorHAnsi"/>
          <w:w w:val="100"/>
          <w:sz w:val="20"/>
          <w:szCs w:val="20"/>
          <w:u w:val="thick"/>
        </w:rPr>
        <w:t>demande@banqueX.fr</w:t>
      </w:r>
      <w:r w:rsidRPr="00520BB1">
        <w:rPr>
          <w:rFonts w:asciiTheme="minorHAnsi" w:hAnsiTheme="minorHAnsi" w:cstheme="minorHAnsi"/>
          <w:w w:val="100"/>
          <w:sz w:val="20"/>
          <w:szCs w:val="20"/>
        </w:rPr>
        <w:t xml:space="preserve"> ».</w:t>
      </w:r>
    </w:p>
    <w:p w14:paraId="6B166C1F"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5E40E70B" w14:textId="0DD2C127" w:rsidR="00E104A4" w:rsidRPr="00E104A4" w:rsidRDefault="003401AB" w:rsidP="00E104A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 xml:space="preserve">Pour les sociétés de libre partenariat à compartiments et afin de permettre une meilleure lisibilité de leurs statuts, les modalités de fonctionnement de la société de libre partenariat sont scindées en deux parties : une partie générale énonçant les dispositions communes à l’ensemble des compartiments et une rubrique particulière déclinant les spécificités mises en œuvre par compartiment. </w:t>
      </w:r>
    </w:p>
    <w:p w14:paraId="7AEC831C" w14:textId="77777777" w:rsidR="00E104A4" w:rsidRPr="0087783C" w:rsidRDefault="00E104A4" w:rsidP="00E104A4">
      <w:pPr>
        <w:pStyle w:val="AMFIntertitreframboise"/>
        <w:ind w:left="426" w:hanging="426"/>
      </w:pPr>
      <w:r w:rsidRPr="00951D07">
        <w:rPr>
          <w:color w:val="1967B0"/>
        </w:rPr>
        <w:t>I</w:t>
      </w:r>
      <w:r>
        <w:rPr>
          <w:color w:val="1967B0"/>
        </w:rPr>
        <w:t>I. Acteurs</w:t>
      </w:r>
    </w:p>
    <w:p w14:paraId="35B474E6" w14:textId="6618E734" w:rsidR="00931174" w:rsidRPr="00520BB1" w:rsidRDefault="00D9701A" w:rsidP="009311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L</w:t>
      </w:r>
      <w:r w:rsidR="00931174" w:rsidRPr="00520BB1">
        <w:rPr>
          <w:rFonts w:asciiTheme="minorHAnsi" w:hAnsiTheme="minorHAnsi" w:cstheme="minorHAnsi"/>
          <w:w w:val="100"/>
          <w:sz w:val="20"/>
          <w:szCs w:val="20"/>
        </w:rPr>
        <w:t>a liste, les coordonnées ainsi que les obligations de l'ensemble des acteurs et prestataires concernés au titre de la gestion, de la conservation, du</w:t>
      </w:r>
      <w:r w:rsidRPr="00520BB1">
        <w:rPr>
          <w:rFonts w:asciiTheme="minorHAnsi" w:hAnsiTheme="minorHAnsi" w:cstheme="minorHAnsi"/>
          <w:w w:val="100"/>
          <w:sz w:val="20"/>
          <w:szCs w:val="20"/>
        </w:rPr>
        <w:t xml:space="preserve"> contrôle ou de la distribution doivent être mentionnés dans les statuts.</w:t>
      </w:r>
    </w:p>
    <w:p w14:paraId="66F55A91"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6DA063A9"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1°</w:t>
      </w:r>
      <w:r w:rsidRPr="00520BB1">
        <w:rPr>
          <w:rFonts w:asciiTheme="minorHAnsi" w:hAnsiTheme="minorHAnsi" w:cstheme="minorHAnsi"/>
          <w:i/>
          <w:iCs/>
          <w:spacing w:val="2"/>
          <w:w w:val="100"/>
          <w:sz w:val="20"/>
          <w:szCs w:val="20"/>
        </w:rPr>
        <w:t xml:space="preserve"> </w:t>
      </w:r>
      <w:r w:rsidR="00B33661" w:rsidRPr="00520BB1">
        <w:rPr>
          <w:rFonts w:asciiTheme="minorHAnsi" w:hAnsiTheme="minorHAnsi" w:cstheme="minorHAnsi"/>
          <w:spacing w:val="2"/>
          <w:w w:val="100"/>
          <w:sz w:val="20"/>
          <w:szCs w:val="20"/>
        </w:rPr>
        <w:t>Gérant</w:t>
      </w:r>
      <w:r w:rsidRPr="00520BB1">
        <w:rPr>
          <w:rFonts w:asciiTheme="minorHAnsi" w:hAnsiTheme="minorHAnsi" w:cstheme="minorHAnsi"/>
          <w:spacing w:val="2"/>
          <w:w w:val="100"/>
          <w:sz w:val="20"/>
          <w:szCs w:val="20"/>
        </w:rPr>
        <w:t xml:space="preserve"> </w:t>
      </w:r>
    </w:p>
    <w:p w14:paraId="3D1C3551"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Dénomination ou raison sociale, forme juridique, siège social et adresse postale si celle-ci est différente du siège social.</w:t>
      </w:r>
    </w:p>
    <w:p w14:paraId="7E36460E" w14:textId="77777777" w:rsidR="00B33661" w:rsidRPr="00520BB1" w:rsidRDefault="00B3366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032A7AEE" w14:textId="77777777" w:rsidR="00B33661" w:rsidRPr="00520BB1" w:rsidRDefault="00B33661" w:rsidP="00B3366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2°</w:t>
      </w:r>
      <w:r w:rsidRPr="00520BB1">
        <w:rPr>
          <w:rFonts w:asciiTheme="minorHAnsi" w:hAnsiTheme="minorHAnsi" w:cstheme="minorHAnsi"/>
          <w:i/>
          <w:iCs/>
          <w:spacing w:val="2"/>
          <w:w w:val="100"/>
          <w:sz w:val="20"/>
          <w:szCs w:val="20"/>
        </w:rPr>
        <w:t xml:space="preserve"> </w:t>
      </w:r>
      <w:r w:rsidRPr="00520BB1">
        <w:rPr>
          <w:rFonts w:asciiTheme="minorHAnsi" w:hAnsiTheme="minorHAnsi" w:cstheme="minorHAnsi"/>
          <w:spacing w:val="2"/>
          <w:w w:val="100"/>
          <w:sz w:val="20"/>
          <w:szCs w:val="20"/>
        </w:rPr>
        <w:t xml:space="preserve">Société de gestion </w:t>
      </w:r>
    </w:p>
    <w:p w14:paraId="0FBAA90C" w14:textId="77777777" w:rsidR="00B33661" w:rsidRPr="00520BB1" w:rsidRDefault="00B33661" w:rsidP="00B3366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Dénomination ou raison sociale, forme juridique, siège social et adresse postale si celle-ci est différente du siège social.</w:t>
      </w:r>
    </w:p>
    <w:p w14:paraId="06F3E7C3" w14:textId="77777777" w:rsidR="009969C8" w:rsidRPr="00520BB1" w:rsidRDefault="009969C8"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sz w:val="20"/>
          <w:szCs w:val="20"/>
        </w:rPr>
      </w:pPr>
    </w:p>
    <w:p w14:paraId="560EE95F" w14:textId="77777777" w:rsidR="009969C8" w:rsidRPr="00520BB1" w:rsidRDefault="002D420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sz w:val="20"/>
          <w:szCs w:val="20"/>
        </w:rPr>
      </w:pPr>
      <w:r w:rsidRPr="00520BB1">
        <w:rPr>
          <w:rFonts w:asciiTheme="minorHAnsi" w:hAnsiTheme="minorHAnsi" w:cstheme="minorHAnsi"/>
          <w:spacing w:val="-2"/>
          <w:sz w:val="20"/>
          <w:szCs w:val="20"/>
        </w:rPr>
        <w:t>3</w:t>
      </w:r>
      <w:r w:rsidR="009969C8" w:rsidRPr="00520BB1">
        <w:rPr>
          <w:rFonts w:asciiTheme="minorHAnsi" w:hAnsiTheme="minorHAnsi" w:cstheme="minorHAnsi"/>
          <w:spacing w:val="-2"/>
          <w:sz w:val="20"/>
          <w:szCs w:val="20"/>
        </w:rPr>
        <w:t>° Associé commandité</w:t>
      </w:r>
    </w:p>
    <w:p w14:paraId="151BD0EF" w14:textId="77777777" w:rsidR="009969C8" w:rsidRPr="00520BB1" w:rsidRDefault="009969C8" w:rsidP="009969C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Dénomination ou raison sociale, forme juridique, siège social et adresse postale si celle-ci est différente du siège social.</w:t>
      </w:r>
    </w:p>
    <w:p w14:paraId="672B181F" w14:textId="77777777" w:rsidR="004E32CD" w:rsidRPr="00520BB1" w:rsidRDefault="004E32CD" w:rsidP="009969C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7B49390C" w14:textId="77777777" w:rsidR="00931174" w:rsidRPr="00520BB1" w:rsidRDefault="002D420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lastRenderedPageBreak/>
        <w:t>4</w:t>
      </w:r>
      <w:r w:rsidR="00931174" w:rsidRPr="00520BB1">
        <w:rPr>
          <w:rFonts w:asciiTheme="minorHAnsi" w:hAnsiTheme="minorHAnsi" w:cstheme="minorHAnsi"/>
          <w:w w:val="100"/>
          <w:sz w:val="20"/>
          <w:szCs w:val="20"/>
        </w:rPr>
        <w:t>° Dépositaire et conservateurs.</w:t>
      </w:r>
    </w:p>
    <w:p w14:paraId="431E6EC1" w14:textId="77777777" w:rsidR="00931174" w:rsidRPr="00520BB1" w:rsidRDefault="00931174" w:rsidP="00127FCC">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Dénomination ou raison sociale, forme juridique, siège social et adresse postale si celle-ci est différente du siège social.</w:t>
      </w:r>
    </w:p>
    <w:p w14:paraId="018BC373" w14:textId="77777777" w:rsidR="00931174" w:rsidRPr="00520BB1" w:rsidRDefault="00931174" w:rsidP="00127FCC">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Activité principale, pour :</w:t>
      </w:r>
    </w:p>
    <w:p w14:paraId="69D5C461"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 xml:space="preserve">a) </w:t>
      </w:r>
      <w:r w:rsidRPr="00520BB1">
        <w:rPr>
          <w:rFonts w:asciiTheme="minorHAnsi" w:hAnsiTheme="minorHAnsi" w:cstheme="minorHAnsi"/>
          <w:w w:val="100"/>
          <w:sz w:val="20"/>
          <w:szCs w:val="20"/>
        </w:rPr>
        <w:t>Le dépositaire ;</w:t>
      </w:r>
    </w:p>
    <w:p w14:paraId="48DBA085" w14:textId="77777777" w:rsidR="00931174" w:rsidRPr="00520BB1" w:rsidRDefault="00931174" w:rsidP="00931174">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rFonts w:asciiTheme="minorHAnsi" w:hAnsiTheme="minorHAnsi" w:cstheme="minorHAnsi"/>
          <w:bCs/>
          <w:iCs/>
          <w:sz w:val="20"/>
        </w:rPr>
      </w:pPr>
      <w:r w:rsidRPr="00520BB1">
        <w:rPr>
          <w:rFonts w:asciiTheme="minorHAnsi" w:hAnsiTheme="minorHAnsi" w:cstheme="minorHAnsi"/>
          <w:bCs/>
          <w:iCs/>
          <w:sz w:val="20"/>
        </w:rPr>
        <w:t>Le cas échant, décrire tout fonction de garde déléguée par le dépositaire ainsi que tout conflit d’intérêt susceptible de découler de ces délégations.</w:t>
      </w:r>
    </w:p>
    <w:p w14:paraId="2CA9E71C"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D13DA04"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 xml:space="preserve">b) </w:t>
      </w:r>
      <w:r w:rsidRPr="00520BB1">
        <w:rPr>
          <w:rFonts w:asciiTheme="minorHAnsi" w:hAnsiTheme="minorHAnsi" w:cstheme="minorHAnsi"/>
          <w:w w:val="100"/>
          <w:sz w:val="20"/>
          <w:szCs w:val="20"/>
        </w:rPr>
        <w:t xml:space="preserve">Le conservateur (actif de </w:t>
      </w:r>
      <w:r w:rsidR="00583884" w:rsidRPr="00520BB1">
        <w:rPr>
          <w:rFonts w:asciiTheme="minorHAnsi" w:hAnsiTheme="minorHAnsi" w:cstheme="minorHAnsi"/>
          <w:w w:val="100"/>
          <w:sz w:val="20"/>
          <w:szCs w:val="20"/>
        </w:rPr>
        <w:t xml:space="preserve">la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w:t>
      </w:r>
    </w:p>
    <w:p w14:paraId="4D9F91CF" w14:textId="2B29A560"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spacing w:val="-2"/>
          <w:w w:val="100"/>
          <w:sz w:val="20"/>
          <w:szCs w:val="20"/>
        </w:rPr>
      </w:pPr>
      <w:r w:rsidRPr="00520BB1">
        <w:rPr>
          <w:rFonts w:asciiTheme="minorHAnsi" w:hAnsiTheme="minorHAnsi" w:cstheme="minorHAnsi"/>
          <w:i/>
          <w:iCs/>
          <w:spacing w:val="-7"/>
          <w:w w:val="100"/>
          <w:sz w:val="20"/>
          <w:szCs w:val="20"/>
        </w:rPr>
        <w:t xml:space="preserve">c) </w:t>
      </w:r>
      <w:r w:rsidRPr="00520BB1">
        <w:rPr>
          <w:rFonts w:asciiTheme="minorHAnsi" w:hAnsiTheme="minorHAnsi" w:cstheme="minorHAnsi"/>
          <w:w w:val="100"/>
          <w:sz w:val="20"/>
          <w:szCs w:val="20"/>
        </w:rPr>
        <w:t xml:space="preserve">Les établissements en charge de la centralisation (en pleine responsabilité ou par délégation conformément à l’article 422-45 </w:t>
      </w:r>
      <w:r w:rsidR="00127FCC" w:rsidRPr="00520BB1">
        <w:rPr>
          <w:rFonts w:asciiTheme="minorHAnsi" w:hAnsiTheme="minorHAnsi" w:cstheme="minorHAnsi"/>
          <w:w w:val="100"/>
          <w:sz w:val="20"/>
          <w:szCs w:val="20"/>
        </w:rPr>
        <w:t>du règlement général de l’A</w:t>
      </w:r>
      <w:r w:rsidR="006029A7" w:rsidRPr="00520BB1">
        <w:rPr>
          <w:rFonts w:asciiTheme="minorHAnsi" w:hAnsiTheme="minorHAnsi" w:cstheme="minorHAnsi"/>
          <w:w w:val="100"/>
          <w:sz w:val="20"/>
          <w:szCs w:val="20"/>
        </w:rPr>
        <w:t xml:space="preserve">MF </w:t>
      </w:r>
      <w:r w:rsidRPr="00520BB1">
        <w:rPr>
          <w:rFonts w:asciiTheme="minorHAnsi" w:hAnsiTheme="minorHAnsi" w:cstheme="minorHAnsi"/>
          <w:w w:val="100"/>
          <w:sz w:val="20"/>
          <w:szCs w:val="20"/>
        </w:rPr>
        <w:t xml:space="preserve">par renvoi de l’article 423-26) des ordres de souscription et de rachat </w:t>
      </w:r>
      <w:r w:rsidRPr="00520BB1">
        <w:rPr>
          <w:rFonts w:asciiTheme="minorHAnsi" w:hAnsiTheme="minorHAnsi" w:cstheme="minorHAnsi"/>
          <w:spacing w:val="-2"/>
          <w:w w:val="100"/>
          <w:sz w:val="20"/>
          <w:szCs w:val="20"/>
        </w:rPr>
        <w:t>;</w:t>
      </w:r>
    </w:p>
    <w:p w14:paraId="7DA9A18A"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 xml:space="preserve">d) </w:t>
      </w:r>
      <w:r w:rsidRPr="00520BB1">
        <w:rPr>
          <w:rFonts w:asciiTheme="minorHAnsi" w:hAnsiTheme="minorHAnsi" w:cstheme="minorHAnsi"/>
          <w:w w:val="100"/>
          <w:sz w:val="20"/>
          <w:szCs w:val="20"/>
        </w:rPr>
        <w:t>L’établissement en charge de la tenue des registres des parts (passif d</w:t>
      </w:r>
      <w:r w:rsidR="00583884" w:rsidRPr="00520BB1">
        <w:rPr>
          <w:rFonts w:asciiTheme="minorHAnsi" w:hAnsiTheme="minorHAnsi" w:cstheme="minorHAnsi"/>
          <w:w w:val="100"/>
          <w:sz w:val="20"/>
          <w:szCs w:val="20"/>
        </w:rPr>
        <w:t>e la</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w:t>
      </w:r>
    </w:p>
    <w:p w14:paraId="6FA72830"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p>
    <w:p w14:paraId="7ABD996B" w14:textId="77777777" w:rsidR="00931174" w:rsidRPr="00520BB1" w:rsidRDefault="00931174" w:rsidP="00931174">
      <w:pPr>
        <w:pStyle w:val="CelluleIntitul"/>
        <w:widowControl/>
        <w:tabs>
          <w:tab w:val="left" w:pos="426"/>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426" w:hanging="46"/>
        <w:jc w:val="both"/>
        <w:rPr>
          <w:rFonts w:asciiTheme="minorHAnsi" w:hAnsiTheme="minorHAnsi" w:cstheme="minorHAnsi"/>
          <w:sz w:val="20"/>
          <w:szCs w:val="20"/>
        </w:rPr>
      </w:pPr>
      <w:r w:rsidRPr="00520BB1">
        <w:rPr>
          <w:rFonts w:asciiTheme="minorHAnsi" w:hAnsiTheme="minorHAnsi" w:cstheme="minorHAnsi"/>
          <w:sz w:val="20"/>
          <w:szCs w:val="20"/>
        </w:rPr>
        <w:t>Le cas échéant, conformément aux articles 323-35 et 421-34 du règlement général de l’AMF, l</w:t>
      </w:r>
      <w:r w:rsidR="00583884" w:rsidRPr="00520BB1">
        <w:rPr>
          <w:rFonts w:asciiTheme="minorHAnsi" w:hAnsiTheme="minorHAnsi" w:cstheme="minorHAnsi"/>
          <w:sz w:val="20"/>
          <w:szCs w:val="20"/>
        </w:rPr>
        <w:t>a</w:t>
      </w:r>
      <w:r w:rsidRPr="00520BB1">
        <w:rPr>
          <w:rFonts w:asciiTheme="minorHAnsi" w:hAnsiTheme="minorHAnsi" w:cstheme="minorHAnsi"/>
          <w:sz w:val="20"/>
          <w:szCs w:val="20"/>
        </w:rPr>
        <w:t xml:space="preserve"> </w:t>
      </w:r>
      <w:r w:rsidR="003D74AA" w:rsidRPr="00520BB1">
        <w:rPr>
          <w:rFonts w:asciiTheme="minorHAnsi" w:hAnsiTheme="minorHAnsi" w:cstheme="minorHAnsi"/>
          <w:sz w:val="20"/>
          <w:szCs w:val="20"/>
        </w:rPr>
        <w:t>société de libre partenariat</w:t>
      </w:r>
      <w:r w:rsidRPr="00520BB1">
        <w:rPr>
          <w:rFonts w:asciiTheme="minorHAnsi" w:hAnsiTheme="minorHAnsi" w:cstheme="minorHAnsi"/>
          <w:sz w:val="20"/>
          <w:szCs w:val="20"/>
        </w:rPr>
        <w:t xml:space="preserve"> ou sa société de gestion informe les investisseurs, avant qu'ils investissent dans </w:t>
      </w:r>
      <w:r w:rsidR="00583884" w:rsidRPr="00520BB1">
        <w:rPr>
          <w:rFonts w:asciiTheme="minorHAnsi" w:hAnsiTheme="minorHAnsi" w:cstheme="minorHAnsi"/>
          <w:sz w:val="20"/>
          <w:szCs w:val="20"/>
        </w:rPr>
        <w:t>la société</w:t>
      </w:r>
      <w:r w:rsidRPr="00520BB1">
        <w:rPr>
          <w:rFonts w:asciiTheme="minorHAnsi" w:hAnsiTheme="minorHAnsi" w:cstheme="minorHAnsi"/>
          <w:sz w:val="20"/>
          <w:szCs w:val="20"/>
        </w:rPr>
        <w:t xml:space="preserve">, d'éventuelles dispositions prises par le dépositaire pour se décharger contractuellement de sa responsabilité conformément aux III et IV de l'article L. 214-24-10 du code monétaire et financier. </w:t>
      </w:r>
      <w:r w:rsidR="00583884" w:rsidRPr="00520BB1">
        <w:rPr>
          <w:rFonts w:asciiTheme="minorHAnsi" w:hAnsiTheme="minorHAnsi" w:cstheme="minorHAnsi"/>
          <w:sz w:val="20"/>
          <w:szCs w:val="20"/>
        </w:rPr>
        <w:t>La société de libre partenariat</w:t>
      </w:r>
      <w:r w:rsidRPr="00520BB1">
        <w:rPr>
          <w:rFonts w:asciiTheme="minorHAnsi" w:hAnsiTheme="minorHAnsi" w:cstheme="minorHAnsi"/>
          <w:sz w:val="20"/>
          <w:szCs w:val="20"/>
        </w:rPr>
        <w:t xml:space="preserve"> ou sa société de gestion informe également sans retard les porteurs </w:t>
      </w:r>
      <w:r w:rsidR="00583884" w:rsidRPr="00520BB1">
        <w:rPr>
          <w:rFonts w:asciiTheme="minorHAnsi" w:hAnsiTheme="minorHAnsi" w:cstheme="minorHAnsi"/>
          <w:sz w:val="20"/>
          <w:szCs w:val="20"/>
        </w:rPr>
        <w:t xml:space="preserve">associés </w:t>
      </w:r>
      <w:r w:rsidRPr="00520BB1">
        <w:rPr>
          <w:rFonts w:asciiTheme="minorHAnsi" w:hAnsiTheme="minorHAnsi" w:cstheme="minorHAnsi"/>
          <w:sz w:val="20"/>
          <w:szCs w:val="20"/>
        </w:rPr>
        <w:t>de tout changement concernant la responsabilité du dépositaire.</w:t>
      </w:r>
    </w:p>
    <w:p w14:paraId="56B391EF"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p>
    <w:p w14:paraId="41F2659A" w14:textId="77777777" w:rsidR="00931174" w:rsidRPr="00520BB1" w:rsidRDefault="002D4201"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5</w:t>
      </w:r>
      <w:r w:rsidR="00931174" w:rsidRPr="00520BB1">
        <w:rPr>
          <w:rFonts w:asciiTheme="minorHAnsi" w:hAnsiTheme="minorHAnsi" w:cstheme="minorHAnsi"/>
          <w:w w:val="100"/>
          <w:sz w:val="20"/>
          <w:szCs w:val="20"/>
        </w:rPr>
        <w:t>° Courtier principal</w:t>
      </w:r>
      <w:r w:rsidR="00461840" w:rsidRPr="00520BB1">
        <w:rPr>
          <w:rFonts w:asciiTheme="minorHAnsi" w:hAnsiTheme="minorHAnsi" w:cstheme="minorHAnsi"/>
          <w:w w:val="100"/>
          <w:sz w:val="20"/>
          <w:szCs w:val="20"/>
        </w:rPr>
        <w:t xml:space="preserve"> – </w:t>
      </w:r>
      <w:r w:rsidR="00583884" w:rsidRPr="00520BB1">
        <w:rPr>
          <w:rFonts w:asciiTheme="minorHAnsi" w:hAnsiTheme="minorHAnsi" w:cstheme="minorHAnsi"/>
          <w:w w:val="100"/>
          <w:sz w:val="20"/>
          <w:szCs w:val="20"/>
        </w:rPr>
        <w:t>le cas échéant</w:t>
      </w:r>
      <w:r w:rsidR="00931174" w:rsidRPr="00520BB1">
        <w:rPr>
          <w:rFonts w:asciiTheme="minorHAnsi" w:hAnsiTheme="minorHAnsi" w:cstheme="minorHAnsi"/>
          <w:w w:val="100"/>
          <w:sz w:val="20"/>
          <w:szCs w:val="20"/>
        </w:rPr>
        <w:t xml:space="preserve"> (</w:t>
      </w:r>
      <w:r w:rsidR="00931174" w:rsidRPr="00520BB1">
        <w:rPr>
          <w:rFonts w:asciiTheme="minorHAnsi" w:hAnsiTheme="minorHAnsi" w:cstheme="minorHAnsi"/>
          <w:i/>
          <w:iCs/>
          <w:w w:val="100"/>
          <w:sz w:val="20"/>
          <w:szCs w:val="20"/>
        </w:rPr>
        <w:t>Prime(s) broker(s)).</w:t>
      </w:r>
      <w:r w:rsidR="00931174" w:rsidRPr="00520BB1">
        <w:rPr>
          <w:rFonts w:asciiTheme="minorHAnsi" w:hAnsiTheme="minorHAnsi" w:cstheme="minorHAnsi"/>
          <w:w w:val="100"/>
          <w:sz w:val="20"/>
          <w:szCs w:val="20"/>
        </w:rPr>
        <w:t xml:space="preserve"> </w:t>
      </w:r>
    </w:p>
    <w:p w14:paraId="0B308E61" w14:textId="77777777" w:rsidR="00931174" w:rsidRPr="00520BB1" w:rsidRDefault="00931174" w:rsidP="009311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Le courtier principal</w:t>
      </w:r>
      <w:r w:rsidRPr="00520BB1">
        <w:rPr>
          <w:rFonts w:asciiTheme="minorHAnsi" w:hAnsiTheme="minorHAnsi" w:cstheme="minorHAnsi"/>
          <w:i/>
          <w:iCs/>
          <w:w w:val="100"/>
          <w:sz w:val="20"/>
          <w:szCs w:val="20"/>
        </w:rPr>
        <w:t xml:space="preserve"> </w:t>
      </w:r>
      <w:r w:rsidRPr="00520BB1">
        <w:rPr>
          <w:rFonts w:asciiTheme="minorHAnsi" w:hAnsiTheme="minorHAnsi" w:cstheme="minorHAnsi"/>
          <w:iCs/>
          <w:w w:val="100"/>
          <w:sz w:val="20"/>
          <w:szCs w:val="20"/>
        </w:rPr>
        <w:t>(</w:t>
      </w:r>
      <w:r w:rsidRPr="00520BB1">
        <w:rPr>
          <w:rFonts w:asciiTheme="minorHAnsi" w:hAnsiTheme="minorHAnsi" w:cstheme="minorHAnsi"/>
          <w:i/>
          <w:iCs/>
          <w:w w:val="100"/>
          <w:sz w:val="20"/>
          <w:szCs w:val="20"/>
        </w:rPr>
        <w:t>prime broker</w:t>
      </w:r>
      <w:r w:rsidRPr="00520BB1">
        <w:rPr>
          <w:rFonts w:asciiTheme="minorHAnsi" w:hAnsiTheme="minorHAnsi" w:cstheme="minorHAnsi"/>
          <w:iCs/>
          <w:w w:val="100"/>
          <w:sz w:val="20"/>
          <w:szCs w:val="20"/>
        </w:rPr>
        <w:t>)</w:t>
      </w:r>
      <w:r w:rsidRPr="00520BB1">
        <w:rPr>
          <w:rFonts w:asciiTheme="minorHAnsi" w:hAnsiTheme="minorHAnsi" w:cstheme="minorHAnsi"/>
          <w:i/>
          <w:iCs/>
          <w:w w:val="100"/>
          <w:sz w:val="20"/>
          <w:szCs w:val="20"/>
        </w:rPr>
        <w:t xml:space="preserve"> </w:t>
      </w:r>
      <w:r w:rsidRPr="00520BB1">
        <w:rPr>
          <w:rFonts w:asciiTheme="minorHAnsi" w:hAnsiTheme="minorHAnsi" w:cstheme="minorHAnsi"/>
          <w:w w:val="100"/>
          <w:sz w:val="20"/>
          <w:szCs w:val="20"/>
        </w:rPr>
        <w:t>est une personne morale :</w:t>
      </w:r>
    </w:p>
    <w:p w14:paraId="60D2D303"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a)</w:t>
      </w:r>
      <w:r w:rsidRPr="00520BB1">
        <w:rPr>
          <w:rFonts w:asciiTheme="minorHAnsi" w:hAnsiTheme="minorHAnsi" w:cstheme="minorHAnsi"/>
          <w:i/>
          <w:iCs/>
          <w:w w:val="100"/>
          <w:sz w:val="20"/>
          <w:szCs w:val="20"/>
        </w:rPr>
        <w:tab/>
      </w:r>
      <w:r w:rsidRPr="00520BB1">
        <w:rPr>
          <w:rFonts w:asciiTheme="minorHAnsi" w:hAnsiTheme="minorHAnsi" w:cstheme="minorHAnsi"/>
          <w:w w:val="100"/>
          <w:sz w:val="20"/>
          <w:szCs w:val="20"/>
        </w:rPr>
        <w:t>Exerçant la compensation et le règlement de transactions initiées par une société de gestion pour le compte d’un OPCVM ou FIA ;</w:t>
      </w:r>
    </w:p>
    <w:p w14:paraId="12F607A3" w14:textId="77777777" w:rsidR="00931174" w:rsidRPr="00520BB1" w:rsidRDefault="00931174" w:rsidP="009311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b)</w:t>
      </w:r>
      <w:r w:rsidRPr="00520BB1">
        <w:rPr>
          <w:rFonts w:asciiTheme="minorHAnsi" w:hAnsiTheme="minorHAnsi" w:cstheme="minorHAnsi"/>
          <w:w w:val="100"/>
          <w:sz w:val="20"/>
          <w:szCs w:val="20"/>
        </w:rPr>
        <w:tab/>
        <w:t>Contrepartie importante de contrats constituant des instruments financiers à terme conclus par un FIA, permettant à ce dernier de mettre en œuvre sa stratégie d’investissement, en accordant le financement nécessaire ;</w:t>
      </w:r>
    </w:p>
    <w:p w14:paraId="038FC120"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Dénomination ou raison sociale, forme juridique, siège social et adresse postale si celle-ci est différente du siège social.</w:t>
      </w:r>
    </w:p>
    <w:p w14:paraId="3CF091FC"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Préciser si le courtier principal (prime broker) est également conservateur par délégation du dépositaire ou non.</w:t>
      </w:r>
    </w:p>
    <w:p w14:paraId="741D5493"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2"/>
          <w:w w:val="100"/>
          <w:sz w:val="20"/>
          <w:szCs w:val="20"/>
        </w:rPr>
        <w:t xml:space="preserve">Indiquer l’activité principale. </w:t>
      </w:r>
    </w:p>
    <w:p w14:paraId="2442780D" w14:textId="3C5618B4"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Description de toutes les dispositions importantes que l</w:t>
      </w:r>
      <w:r w:rsidR="00127FCC" w:rsidRPr="00520BB1">
        <w:rPr>
          <w:rFonts w:asciiTheme="minorHAnsi" w:hAnsiTheme="minorHAnsi" w:cstheme="minorHAnsi"/>
          <w:w w:val="100"/>
          <w:sz w:val="20"/>
          <w:szCs w:val="20"/>
        </w:rPr>
        <w:t>a société de libre partenariat</w:t>
      </w:r>
      <w:r w:rsidRPr="00520BB1">
        <w:rPr>
          <w:rFonts w:asciiTheme="minorHAnsi" w:hAnsiTheme="minorHAnsi" w:cstheme="minorHAnsi"/>
          <w:w w:val="100"/>
          <w:sz w:val="20"/>
          <w:szCs w:val="20"/>
        </w:rPr>
        <w:t xml:space="preserve"> a prises avec ses courtiers principaux et la manière dont sont gérés les conflits d’intérêts y afférents et la disposition du contrat avec le dépositaire stipulant la possibilité d’un transfert ou d’un réemploi des actifs d</w:t>
      </w:r>
      <w:r w:rsidR="00127FCC" w:rsidRPr="00520BB1">
        <w:rPr>
          <w:rFonts w:asciiTheme="minorHAnsi" w:hAnsiTheme="minorHAnsi" w:cstheme="minorHAnsi"/>
          <w:w w:val="100"/>
          <w:sz w:val="20"/>
          <w:szCs w:val="20"/>
        </w:rPr>
        <w:t>e la société de libre partenariat</w:t>
      </w:r>
      <w:r w:rsidRPr="00520BB1">
        <w:rPr>
          <w:rFonts w:asciiTheme="minorHAnsi" w:hAnsiTheme="minorHAnsi" w:cstheme="minorHAnsi"/>
          <w:w w:val="100"/>
          <w:sz w:val="20"/>
          <w:szCs w:val="20"/>
        </w:rPr>
        <w:t xml:space="preserve"> et les informations relatives à tout transfert de responsabilité au courtier principal qui pourrait exister.</w:t>
      </w:r>
    </w:p>
    <w:p w14:paraId="25044CE3"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310662DA" w14:textId="77777777" w:rsidR="00931174" w:rsidRPr="00520BB1" w:rsidRDefault="002D420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5"/>
          <w:w w:val="100"/>
          <w:sz w:val="20"/>
          <w:szCs w:val="20"/>
        </w:rPr>
      </w:pPr>
      <w:r w:rsidRPr="00520BB1">
        <w:rPr>
          <w:rFonts w:asciiTheme="minorHAnsi" w:hAnsiTheme="minorHAnsi" w:cstheme="minorHAnsi"/>
          <w:spacing w:val="-5"/>
          <w:w w:val="100"/>
          <w:sz w:val="20"/>
          <w:szCs w:val="20"/>
        </w:rPr>
        <w:t>6</w:t>
      </w:r>
      <w:r w:rsidR="00931174" w:rsidRPr="00520BB1">
        <w:rPr>
          <w:rFonts w:asciiTheme="minorHAnsi" w:hAnsiTheme="minorHAnsi" w:cstheme="minorHAnsi"/>
          <w:spacing w:val="-5"/>
          <w:w w:val="100"/>
          <w:sz w:val="20"/>
          <w:szCs w:val="20"/>
        </w:rPr>
        <w:t xml:space="preserve">° Commissaire aux comptes </w:t>
      </w:r>
    </w:p>
    <w:p w14:paraId="5D0B1C7C"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Dénomination ou raison sociale, siège social, signataire.</w:t>
      </w:r>
    </w:p>
    <w:p w14:paraId="0E50B258"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48D67FA8" w14:textId="77777777" w:rsidR="00931174" w:rsidRPr="00520BB1" w:rsidRDefault="002D420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7</w:t>
      </w:r>
      <w:r w:rsidR="00931174" w:rsidRPr="00520BB1">
        <w:rPr>
          <w:rFonts w:asciiTheme="minorHAnsi" w:hAnsiTheme="minorHAnsi" w:cstheme="minorHAnsi"/>
          <w:w w:val="100"/>
          <w:sz w:val="20"/>
          <w:szCs w:val="20"/>
        </w:rPr>
        <w:t>° Commercialisateurs</w:t>
      </w:r>
      <w:r w:rsidR="00583884" w:rsidRPr="00520BB1">
        <w:rPr>
          <w:rFonts w:asciiTheme="minorHAnsi" w:hAnsiTheme="minorHAnsi" w:cstheme="minorHAnsi"/>
          <w:w w:val="100"/>
          <w:sz w:val="20"/>
          <w:szCs w:val="20"/>
        </w:rPr>
        <w:t xml:space="preserve"> (le cas échéant)</w:t>
      </w:r>
      <w:r w:rsidR="008146C1" w:rsidRPr="00520BB1">
        <w:rPr>
          <w:rFonts w:asciiTheme="minorHAnsi" w:hAnsiTheme="minorHAnsi" w:cstheme="minorHAnsi"/>
          <w:w w:val="100"/>
          <w:sz w:val="20"/>
          <w:szCs w:val="20"/>
        </w:rPr>
        <w:t>.</w:t>
      </w:r>
    </w:p>
    <w:p w14:paraId="67EC37E1"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Dénomination ou raison sociale, forme juridique, siège social et adresse postale si celle-ci est différente du siège social.</w:t>
      </w:r>
    </w:p>
    <w:p w14:paraId="6C28A97F"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6EFB6984" w14:textId="77777777" w:rsidR="00931174" w:rsidRPr="00520BB1" w:rsidRDefault="002D420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8</w:t>
      </w:r>
      <w:r w:rsidR="00931174" w:rsidRPr="00520BB1">
        <w:rPr>
          <w:rFonts w:asciiTheme="minorHAnsi" w:hAnsiTheme="minorHAnsi" w:cstheme="minorHAnsi"/>
          <w:w w:val="100"/>
          <w:sz w:val="20"/>
          <w:szCs w:val="20"/>
        </w:rPr>
        <w:t xml:space="preserve">° Personne s’assurant que les critères relatifs à la capacité des souscripteurs ou acquéreurs ont été respectés et que ces derniers ont reçu </w:t>
      </w:r>
      <w:r w:rsidR="008146C1" w:rsidRPr="00520BB1">
        <w:rPr>
          <w:rFonts w:asciiTheme="minorHAnsi" w:hAnsiTheme="minorHAnsi" w:cstheme="minorHAnsi"/>
          <w:w w:val="100"/>
          <w:sz w:val="20"/>
          <w:szCs w:val="20"/>
        </w:rPr>
        <w:t>les statuts</w:t>
      </w:r>
    </w:p>
    <w:p w14:paraId="3E0BDAE0"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Cette personne désignée peut notamment être :</w:t>
      </w:r>
    </w:p>
    <w:p w14:paraId="67D888D5"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 xml:space="preserve">a) </w:t>
      </w:r>
      <w:r w:rsidRPr="00520BB1">
        <w:rPr>
          <w:rFonts w:asciiTheme="minorHAnsi" w:hAnsiTheme="minorHAnsi" w:cstheme="minorHAnsi"/>
          <w:w w:val="100"/>
          <w:sz w:val="20"/>
          <w:szCs w:val="20"/>
        </w:rPr>
        <w:t>Le dépositaire ;</w:t>
      </w:r>
    </w:p>
    <w:p w14:paraId="79063BD3"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 xml:space="preserve">b) </w:t>
      </w:r>
      <w:r w:rsidRPr="00520BB1">
        <w:rPr>
          <w:rFonts w:asciiTheme="minorHAnsi" w:hAnsiTheme="minorHAnsi" w:cstheme="minorHAnsi"/>
          <w:w w:val="100"/>
          <w:sz w:val="20"/>
          <w:szCs w:val="20"/>
        </w:rPr>
        <w:t>La société de gestion</w:t>
      </w:r>
      <w:r w:rsidR="008146C1" w:rsidRPr="00520BB1">
        <w:rPr>
          <w:rFonts w:asciiTheme="minorHAnsi" w:hAnsiTheme="minorHAnsi" w:cstheme="minorHAnsi"/>
          <w:w w:val="100"/>
          <w:sz w:val="20"/>
          <w:szCs w:val="20"/>
        </w:rPr>
        <w:t>, le gérant</w:t>
      </w:r>
      <w:r w:rsidRPr="00520BB1">
        <w:rPr>
          <w:rFonts w:asciiTheme="minorHAnsi" w:hAnsiTheme="minorHAnsi" w:cstheme="minorHAnsi"/>
          <w:w w:val="100"/>
          <w:sz w:val="20"/>
          <w:szCs w:val="20"/>
        </w:rPr>
        <w:t xml:space="preserve"> ou la </w:t>
      </w:r>
      <w:r w:rsidR="009E11E3" w:rsidRPr="00520BB1">
        <w:rPr>
          <w:rFonts w:asciiTheme="minorHAnsi" w:hAnsiTheme="minorHAnsi" w:cstheme="minorHAnsi"/>
          <w:w w:val="100"/>
          <w:sz w:val="20"/>
          <w:szCs w:val="20"/>
        </w:rPr>
        <w:t xml:space="preserve">société de libre partenariat </w:t>
      </w:r>
      <w:r w:rsidRPr="00520BB1">
        <w:rPr>
          <w:rFonts w:asciiTheme="minorHAnsi" w:hAnsiTheme="minorHAnsi" w:cstheme="minorHAnsi"/>
          <w:w w:val="100"/>
          <w:sz w:val="20"/>
          <w:szCs w:val="20"/>
        </w:rPr>
        <w:t xml:space="preserve">; </w:t>
      </w:r>
    </w:p>
    <w:p w14:paraId="7F3215CB"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i/>
          <w:iCs/>
          <w:w w:val="100"/>
          <w:sz w:val="20"/>
          <w:szCs w:val="20"/>
        </w:rPr>
        <w:t xml:space="preserve">c) </w:t>
      </w:r>
      <w:r w:rsidRPr="00520BB1">
        <w:rPr>
          <w:rFonts w:asciiTheme="minorHAnsi" w:hAnsiTheme="minorHAnsi" w:cstheme="minorHAnsi"/>
          <w:w w:val="100"/>
          <w:sz w:val="20"/>
          <w:szCs w:val="20"/>
        </w:rPr>
        <w:t>Toute personne commercialisant les parts ou actions d</w:t>
      </w:r>
      <w:r w:rsidR="008146C1" w:rsidRPr="00520BB1">
        <w:rPr>
          <w:rFonts w:asciiTheme="minorHAnsi" w:hAnsiTheme="minorHAnsi" w:cstheme="minorHAnsi"/>
          <w:w w:val="100"/>
          <w:sz w:val="20"/>
          <w:szCs w:val="20"/>
        </w:rPr>
        <w:t>e la</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xml:space="preserve">. </w:t>
      </w:r>
    </w:p>
    <w:p w14:paraId="3F7B0E99"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Cette rubrique n’est pas renseignée si l</w:t>
      </w:r>
      <w:r w:rsidR="008146C1" w:rsidRPr="00520BB1">
        <w:rPr>
          <w:rFonts w:asciiTheme="minorHAnsi" w:hAnsiTheme="minorHAnsi" w:cstheme="minorHAnsi"/>
          <w:w w:val="100"/>
          <w:sz w:val="20"/>
          <w:szCs w:val="20"/>
        </w:rPr>
        <w:t>a</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xml:space="preserve"> n’est commercialisé</w:t>
      </w:r>
      <w:r w:rsidR="00666DB5" w:rsidRPr="00520BB1">
        <w:rPr>
          <w:rFonts w:asciiTheme="minorHAnsi" w:hAnsiTheme="minorHAnsi" w:cstheme="minorHAnsi"/>
          <w:w w:val="100"/>
          <w:sz w:val="20"/>
          <w:szCs w:val="20"/>
        </w:rPr>
        <w:t>e</w:t>
      </w:r>
      <w:r w:rsidRPr="00520BB1">
        <w:rPr>
          <w:rFonts w:asciiTheme="minorHAnsi" w:hAnsiTheme="minorHAnsi" w:cstheme="minorHAnsi"/>
          <w:w w:val="100"/>
          <w:sz w:val="20"/>
          <w:szCs w:val="20"/>
        </w:rPr>
        <w:t xml:space="preserve"> qu’à l’étranger et que la souscription et l’acquisition des parts ou actions de ce</w:t>
      </w:r>
      <w:r w:rsidR="00666DB5" w:rsidRPr="00520BB1">
        <w:rPr>
          <w:rFonts w:asciiTheme="minorHAnsi" w:hAnsiTheme="minorHAnsi" w:cstheme="minorHAnsi"/>
          <w:w w:val="100"/>
          <w:sz w:val="20"/>
          <w:szCs w:val="20"/>
        </w:rPr>
        <w:t>tte</w:t>
      </w:r>
      <w:r w:rsidRPr="00520BB1">
        <w:rPr>
          <w:rFonts w:asciiTheme="minorHAnsi" w:hAnsiTheme="minorHAnsi" w:cstheme="minorHAnsi"/>
          <w:w w:val="100"/>
          <w:sz w:val="20"/>
          <w:szCs w:val="20"/>
        </w:rPr>
        <w:t xml:space="preserve"> </w:t>
      </w:r>
      <w:r w:rsidR="003D74AA" w:rsidRPr="00520BB1">
        <w:rPr>
          <w:rFonts w:asciiTheme="minorHAnsi" w:hAnsiTheme="minorHAnsi" w:cstheme="minorHAnsi"/>
          <w:w w:val="100"/>
          <w:sz w:val="20"/>
          <w:szCs w:val="20"/>
        </w:rPr>
        <w:t>société de libre partenariat</w:t>
      </w:r>
      <w:r w:rsidRPr="00520BB1">
        <w:rPr>
          <w:rFonts w:asciiTheme="minorHAnsi" w:hAnsiTheme="minorHAnsi" w:cstheme="minorHAnsi"/>
          <w:w w:val="100"/>
          <w:sz w:val="20"/>
          <w:szCs w:val="20"/>
        </w:rPr>
        <w:t xml:space="preserve"> sont réservées aux investisseurs </w:t>
      </w:r>
      <w:r w:rsidR="00D9701A" w:rsidRPr="00520BB1">
        <w:rPr>
          <w:rFonts w:asciiTheme="minorHAnsi" w:hAnsiTheme="minorHAnsi" w:cstheme="minorHAnsi"/>
          <w:w w:val="100"/>
          <w:sz w:val="20"/>
          <w:szCs w:val="20"/>
        </w:rPr>
        <w:t>non-résidents</w:t>
      </w:r>
      <w:r w:rsidRPr="00520BB1">
        <w:rPr>
          <w:rFonts w:asciiTheme="minorHAnsi" w:hAnsiTheme="minorHAnsi" w:cstheme="minorHAnsi"/>
          <w:w w:val="100"/>
          <w:sz w:val="20"/>
          <w:szCs w:val="20"/>
        </w:rPr>
        <w:t xml:space="preserve"> en France.</w:t>
      </w:r>
    </w:p>
    <w:p w14:paraId="6EEBD52D" w14:textId="77777777" w:rsidR="00C158AA" w:rsidRPr="00520BB1" w:rsidRDefault="00C158AA"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7"/>
          <w:w w:val="100"/>
          <w:sz w:val="20"/>
          <w:szCs w:val="20"/>
        </w:rPr>
      </w:pPr>
    </w:p>
    <w:p w14:paraId="685E1821"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r w:rsidRPr="00520BB1">
        <w:rPr>
          <w:rFonts w:asciiTheme="minorHAnsi" w:hAnsiTheme="minorHAnsi" w:cstheme="minorHAnsi"/>
          <w:spacing w:val="-7"/>
          <w:w w:val="100"/>
          <w:sz w:val="20"/>
          <w:szCs w:val="20"/>
        </w:rPr>
        <w:t xml:space="preserve">Dénomination ou raison sociale, forme juridique, siège social et adresse postale si celle-ci </w:t>
      </w:r>
      <w:r w:rsidRPr="00520BB1">
        <w:rPr>
          <w:rFonts w:asciiTheme="minorHAnsi" w:hAnsiTheme="minorHAnsi" w:cstheme="minorHAnsi"/>
          <w:spacing w:val="-2"/>
          <w:w w:val="100"/>
          <w:sz w:val="20"/>
          <w:szCs w:val="20"/>
        </w:rPr>
        <w:t>est différente du siège social.</w:t>
      </w:r>
    </w:p>
    <w:p w14:paraId="7CD0A2B2" w14:textId="77777777" w:rsidR="00931174" w:rsidRPr="00520BB1" w:rsidRDefault="00931174"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pacing w:val="-2"/>
          <w:w w:val="100"/>
          <w:sz w:val="20"/>
          <w:szCs w:val="20"/>
        </w:rPr>
      </w:pPr>
    </w:p>
    <w:p w14:paraId="6AFE7867" w14:textId="77777777" w:rsidR="00931174" w:rsidRPr="00520BB1" w:rsidRDefault="002D4201"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lastRenderedPageBreak/>
        <w:t>9</w:t>
      </w:r>
      <w:r w:rsidR="00931174" w:rsidRPr="00520BB1">
        <w:rPr>
          <w:rFonts w:asciiTheme="minorHAnsi" w:hAnsiTheme="minorHAnsi" w:cstheme="minorHAnsi"/>
          <w:w w:val="100"/>
          <w:sz w:val="20"/>
          <w:szCs w:val="20"/>
        </w:rPr>
        <w:t>° Délégataires.</w:t>
      </w:r>
    </w:p>
    <w:p w14:paraId="3F5DFD6E" w14:textId="3ACE157C" w:rsidR="00931174" w:rsidRPr="00520BB1" w:rsidRDefault="00666DB5" w:rsidP="009311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520BB1">
        <w:rPr>
          <w:rFonts w:asciiTheme="minorHAnsi" w:hAnsiTheme="minorHAnsi" w:cstheme="minorHAnsi"/>
          <w:w w:val="100"/>
          <w:sz w:val="20"/>
          <w:szCs w:val="20"/>
        </w:rPr>
        <w:t>Le cas échéant, c</w:t>
      </w:r>
      <w:r w:rsidR="00931174" w:rsidRPr="00520BB1">
        <w:rPr>
          <w:rFonts w:asciiTheme="minorHAnsi" w:hAnsiTheme="minorHAnsi" w:cstheme="minorHAnsi"/>
          <w:w w:val="100"/>
          <w:sz w:val="20"/>
          <w:szCs w:val="20"/>
        </w:rPr>
        <w:t xml:space="preserve">ette rubrique regroupe, pour l’ensemble des délégations, notamment financières, administratives et comptables, </w:t>
      </w:r>
      <w:r w:rsidR="00931174" w:rsidRPr="00520BB1">
        <w:rPr>
          <w:rFonts w:asciiTheme="minorHAnsi" w:hAnsiTheme="minorHAnsi" w:cstheme="minorHAnsi"/>
          <w:spacing w:val="-4"/>
          <w:sz w:val="20"/>
          <w:szCs w:val="20"/>
        </w:rPr>
        <w:t xml:space="preserve">au sens des articles </w:t>
      </w:r>
      <w:r w:rsidR="00B559E1" w:rsidRPr="00520BB1">
        <w:rPr>
          <w:rFonts w:asciiTheme="minorHAnsi" w:hAnsiTheme="minorHAnsi" w:cstheme="minorHAnsi"/>
          <w:spacing w:val="-4"/>
          <w:sz w:val="20"/>
          <w:szCs w:val="20"/>
        </w:rPr>
        <w:t>321-97</w:t>
      </w:r>
      <w:r w:rsidR="00931174" w:rsidRPr="00520BB1">
        <w:rPr>
          <w:rStyle w:val="Appelnotedebasdep"/>
          <w:rFonts w:asciiTheme="minorHAnsi" w:hAnsiTheme="minorHAnsi" w:cstheme="minorHAnsi"/>
          <w:spacing w:val="-4"/>
          <w:sz w:val="20"/>
          <w:szCs w:val="20"/>
        </w:rPr>
        <w:footnoteReference w:id="2"/>
      </w:r>
      <w:r w:rsidR="00931174" w:rsidRPr="00520BB1">
        <w:rPr>
          <w:rFonts w:asciiTheme="minorHAnsi" w:hAnsiTheme="minorHAnsi" w:cstheme="minorHAnsi"/>
          <w:spacing w:val="-4"/>
          <w:sz w:val="20"/>
          <w:szCs w:val="20"/>
        </w:rPr>
        <w:t xml:space="preserve"> et </w:t>
      </w:r>
      <w:r w:rsidR="00B559E1" w:rsidRPr="00520BB1">
        <w:rPr>
          <w:rFonts w:asciiTheme="minorHAnsi" w:hAnsiTheme="minorHAnsi" w:cstheme="minorHAnsi"/>
          <w:spacing w:val="-4"/>
          <w:sz w:val="20"/>
          <w:szCs w:val="20"/>
        </w:rPr>
        <w:t>318-62</w:t>
      </w:r>
      <w:r w:rsidR="00931174" w:rsidRPr="00520BB1">
        <w:rPr>
          <w:rStyle w:val="Appelnotedebasdep"/>
          <w:rFonts w:asciiTheme="minorHAnsi" w:hAnsiTheme="minorHAnsi" w:cstheme="minorHAnsi"/>
          <w:spacing w:val="-4"/>
          <w:sz w:val="20"/>
          <w:szCs w:val="20"/>
        </w:rPr>
        <w:footnoteReference w:id="3"/>
      </w:r>
      <w:r w:rsidR="00931174" w:rsidRPr="00520BB1">
        <w:rPr>
          <w:rFonts w:asciiTheme="minorHAnsi" w:hAnsiTheme="minorHAnsi" w:cstheme="minorHAnsi"/>
          <w:spacing w:val="-4"/>
          <w:sz w:val="20"/>
          <w:szCs w:val="20"/>
        </w:rPr>
        <w:t xml:space="preserve"> du règlement général de l’Autorité des marchés financiers, </w:t>
      </w:r>
      <w:r w:rsidR="00931174" w:rsidRPr="00520BB1">
        <w:rPr>
          <w:rFonts w:asciiTheme="minorHAnsi" w:hAnsiTheme="minorHAnsi" w:cstheme="minorHAnsi"/>
          <w:w w:val="100"/>
          <w:sz w:val="20"/>
          <w:szCs w:val="20"/>
        </w:rPr>
        <w:t>les informations suivantes :</w:t>
      </w:r>
    </w:p>
    <w:p w14:paraId="13D0421A"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w w:val="100"/>
          <w:sz w:val="20"/>
          <w:szCs w:val="20"/>
        </w:rPr>
        <w:t>a)</w:t>
      </w:r>
      <w:r w:rsidRPr="00520BB1">
        <w:rPr>
          <w:rFonts w:asciiTheme="minorHAnsi" w:hAnsiTheme="minorHAnsi" w:cstheme="minorHAnsi"/>
          <w:w w:val="100"/>
          <w:sz w:val="20"/>
          <w:szCs w:val="20"/>
        </w:rPr>
        <w:tab/>
        <w:t>Identité ou raison sociale de la société ;</w:t>
      </w:r>
    </w:p>
    <w:p w14:paraId="37848A74"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w w:val="100"/>
          <w:sz w:val="20"/>
          <w:szCs w:val="20"/>
        </w:rPr>
        <w:t>b)</w:t>
      </w:r>
      <w:r w:rsidRPr="00520BB1">
        <w:rPr>
          <w:rFonts w:asciiTheme="minorHAnsi" w:hAnsiTheme="minorHAnsi" w:cstheme="minorHAnsi"/>
          <w:w w:val="100"/>
          <w:sz w:val="20"/>
          <w:szCs w:val="20"/>
        </w:rPr>
        <w:tab/>
      </w:r>
      <w:r w:rsidR="00666DB5" w:rsidRPr="00520BB1">
        <w:rPr>
          <w:rFonts w:asciiTheme="minorHAnsi" w:hAnsiTheme="minorHAnsi" w:cstheme="minorHAnsi"/>
          <w:w w:val="100"/>
          <w:sz w:val="20"/>
          <w:szCs w:val="20"/>
        </w:rPr>
        <w:t>les fonctions déléguées et, le cas échéant, les éléments</w:t>
      </w:r>
      <w:r w:rsidRPr="00520BB1">
        <w:rPr>
          <w:rFonts w:asciiTheme="minorHAnsi" w:hAnsiTheme="minorHAnsi" w:cstheme="minorHAnsi"/>
          <w:w w:val="100"/>
          <w:sz w:val="20"/>
          <w:szCs w:val="20"/>
        </w:rPr>
        <w:t xml:space="preserve"> du contrat avec </w:t>
      </w:r>
      <w:r w:rsidR="00666DB5" w:rsidRPr="00520BB1">
        <w:rPr>
          <w:rFonts w:asciiTheme="minorHAnsi" w:hAnsiTheme="minorHAnsi" w:cstheme="minorHAnsi"/>
          <w:w w:val="100"/>
          <w:sz w:val="20"/>
          <w:szCs w:val="20"/>
        </w:rPr>
        <w:t xml:space="preserve">le gérant ou </w:t>
      </w:r>
      <w:r w:rsidRPr="00520BB1">
        <w:rPr>
          <w:rFonts w:asciiTheme="minorHAnsi" w:hAnsiTheme="minorHAnsi" w:cstheme="minorHAnsi"/>
          <w:w w:val="100"/>
          <w:sz w:val="20"/>
          <w:szCs w:val="20"/>
        </w:rPr>
        <w:t xml:space="preserve">la société de gestion ou la société </w:t>
      </w:r>
      <w:r w:rsidR="00666DB5" w:rsidRPr="00520BB1">
        <w:rPr>
          <w:rFonts w:asciiTheme="minorHAnsi" w:hAnsiTheme="minorHAnsi" w:cstheme="minorHAnsi"/>
          <w:w w:val="100"/>
          <w:sz w:val="20"/>
          <w:szCs w:val="20"/>
        </w:rPr>
        <w:t xml:space="preserve">de libre partenariat </w:t>
      </w:r>
      <w:r w:rsidRPr="00520BB1">
        <w:rPr>
          <w:rFonts w:asciiTheme="minorHAnsi" w:hAnsiTheme="minorHAnsi" w:cstheme="minorHAnsi"/>
          <w:w w:val="100"/>
          <w:sz w:val="20"/>
          <w:szCs w:val="20"/>
        </w:rPr>
        <w:t>de nature à intéresser les investisseurs, à l’exclusion de ceux relatifs aux rémunérations ;</w:t>
      </w:r>
    </w:p>
    <w:p w14:paraId="72C06804"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w w:val="100"/>
          <w:sz w:val="20"/>
          <w:szCs w:val="20"/>
        </w:rPr>
        <w:t>c)</w:t>
      </w:r>
      <w:r w:rsidRPr="00520BB1">
        <w:rPr>
          <w:rFonts w:asciiTheme="minorHAnsi" w:hAnsiTheme="minorHAnsi" w:cstheme="minorHAnsi"/>
          <w:w w:val="100"/>
          <w:sz w:val="20"/>
          <w:szCs w:val="20"/>
        </w:rPr>
        <w:tab/>
        <w:t>Autres caractéristiques sommaires de l’activité de la société délégataire ;</w:t>
      </w:r>
    </w:p>
    <w:p w14:paraId="5A636686"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sz w:val="20"/>
          <w:szCs w:val="20"/>
        </w:rPr>
        <w:t>d) Tout conflit d’intérêts susceptible de découler de ces délégations</w:t>
      </w:r>
    </w:p>
    <w:p w14:paraId="3261134C" w14:textId="77777777" w:rsidR="00931174" w:rsidRPr="00520BB1" w:rsidRDefault="00931174" w:rsidP="009311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p>
    <w:p w14:paraId="512E24AC" w14:textId="77777777" w:rsidR="00931174" w:rsidRPr="00520BB1" w:rsidRDefault="00D9701A" w:rsidP="00A62FD0">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hanging="100"/>
        <w:jc w:val="both"/>
        <w:rPr>
          <w:rFonts w:asciiTheme="minorHAnsi" w:hAnsiTheme="minorHAnsi" w:cstheme="minorHAnsi"/>
          <w:w w:val="100"/>
          <w:sz w:val="20"/>
          <w:szCs w:val="20"/>
        </w:rPr>
      </w:pPr>
      <w:r w:rsidRPr="00520BB1">
        <w:rPr>
          <w:rFonts w:asciiTheme="minorHAnsi" w:hAnsiTheme="minorHAnsi" w:cstheme="minorHAnsi"/>
          <w:w w:val="100"/>
          <w:sz w:val="20"/>
          <w:szCs w:val="20"/>
        </w:rPr>
        <w:t>10</w:t>
      </w:r>
      <w:r w:rsidR="00931174" w:rsidRPr="00520BB1">
        <w:rPr>
          <w:rFonts w:asciiTheme="minorHAnsi" w:hAnsiTheme="minorHAnsi" w:cstheme="minorHAnsi"/>
          <w:w w:val="100"/>
          <w:sz w:val="20"/>
          <w:szCs w:val="20"/>
        </w:rPr>
        <w:t>° a)</w:t>
      </w:r>
      <w:r w:rsidR="00C93DA5" w:rsidRPr="00520BB1">
        <w:rPr>
          <w:rFonts w:asciiTheme="minorHAnsi" w:hAnsiTheme="minorHAnsi" w:cstheme="minorHAnsi"/>
          <w:w w:val="100"/>
          <w:sz w:val="20"/>
          <w:szCs w:val="20"/>
        </w:rPr>
        <w:t xml:space="preserve"> </w:t>
      </w:r>
      <w:r w:rsidR="00931174" w:rsidRPr="00520BB1">
        <w:rPr>
          <w:rFonts w:asciiTheme="minorHAnsi" w:hAnsiTheme="minorHAnsi" w:cstheme="minorHAnsi"/>
          <w:w w:val="100"/>
          <w:sz w:val="20"/>
          <w:szCs w:val="20"/>
        </w:rPr>
        <w:t xml:space="preserve">Identité et fonctions dans la </w:t>
      </w:r>
      <w:r w:rsidR="009E11E3" w:rsidRPr="00520BB1">
        <w:rPr>
          <w:rFonts w:asciiTheme="minorHAnsi" w:hAnsiTheme="minorHAnsi" w:cstheme="minorHAnsi"/>
          <w:w w:val="100"/>
          <w:sz w:val="20"/>
          <w:szCs w:val="20"/>
        </w:rPr>
        <w:t>société de libre partenariat</w:t>
      </w:r>
      <w:r w:rsidR="009D483D" w:rsidRPr="00520BB1">
        <w:rPr>
          <w:rFonts w:asciiTheme="minorHAnsi" w:hAnsiTheme="minorHAnsi" w:cstheme="minorHAnsi"/>
          <w:w w:val="100"/>
          <w:sz w:val="20"/>
          <w:szCs w:val="20"/>
        </w:rPr>
        <w:t xml:space="preserve"> </w:t>
      </w:r>
      <w:r w:rsidR="00931174" w:rsidRPr="00520BB1">
        <w:rPr>
          <w:rFonts w:asciiTheme="minorHAnsi" w:hAnsiTheme="minorHAnsi" w:cstheme="minorHAnsi"/>
          <w:w w:val="100"/>
          <w:sz w:val="20"/>
          <w:szCs w:val="20"/>
        </w:rPr>
        <w:t>des membres des organes d’administration, de direction et de surveillance</w:t>
      </w:r>
      <w:r w:rsidR="002D4201" w:rsidRPr="00520BB1">
        <w:rPr>
          <w:rFonts w:asciiTheme="minorHAnsi" w:hAnsiTheme="minorHAnsi" w:cstheme="minorHAnsi"/>
          <w:w w:val="100"/>
          <w:sz w:val="20"/>
          <w:szCs w:val="20"/>
        </w:rPr>
        <w:t xml:space="preserve"> ou de gérance</w:t>
      </w:r>
      <w:r w:rsidR="00931174" w:rsidRPr="00520BB1">
        <w:rPr>
          <w:rFonts w:asciiTheme="minorHAnsi" w:hAnsiTheme="minorHAnsi" w:cstheme="minorHAnsi"/>
          <w:w w:val="100"/>
          <w:sz w:val="20"/>
          <w:szCs w:val="20"/>
        </w:rPr>
        <w:t xml:space="preserve"> ;</w:t>
      </w:r>
    </w:p>
    <w:p w14:paraId="5F984FD6" w14:textId="0023057C" w:rsidR="00931174" w:rsidRPr="00520BB1" w:rsidRDefault="00931174" w:rsidP="005535DB">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520BB1">
        <w:rPr>
          <w:rFonts w:asciiTheme="minorHAnsi" w:hAnsiTheme="minorHAnsi" w:cstheme="minorHAnsi"/>
          <w:w w:val="100"/>
          <w:sz w:val="20"/>
          <w:szCs w:val="20"/>
        </w:rPr>
        <w:t>b)</w:t>
      </w:r>
      <w:r w:rsidRPr="00520BB1">
        <w:rPr>
          <w:rFonts w:asciiTheme="minorHAnsi" w:hAnsiTheme="minorHAnsi" w:cstheme="minorHAnsi"/>
          <w:w w:val="100"/>
          <w:sz w:val="20"/>
          <w:szCs w:val="20"/>
        </w:rPr>
        <w:tab/>
        <w:t>Mention des principales activités exercées par ces personnes en dehors de la société lorsqu’elles sont</w:t>
      </w:r>
      <w:r w:rsidR="00C93DA5" w:rsidRPr="00520BB1">
        <w:rPr>
          <w:rFonts w:asciiTheme="minorHAnsi" w:hAnsiTheme="minorHAnsi" w:cstheme="minorHAnsi"/>
          <w:w w:val="100"/>
          <w:sz w:val="20"/>
          <w:szCs w:val="20"/>
        </w:rPr>
        <w:t xml:space="preserve"> </w:t>
      </w:r>
      <w:r w:rsidRPr="00520BB1">
        <w:rPr>
          <w:rFonts w:asciiTheme="minorHAnsi" w:hAnsiTheme="minorHAnsi" w:cstheme="minorHAnsi"/>
          <w:w w:val="100"/>
          <w:sz w:val="20"/>
          <w:szCs w:val="20"/>
        </w:rPr>
        <w:t>significatives par rapport à celle-ci.</w:t>
      </w:r>
    </w:p>
    <w:p w14:paraId="257E4A31" w14:textId="6EF1748B" w:rsidR="00543803" w:rsidRPr="00E104A4" w:rsidRDefault="00E104A4" w:rsidP="0030374E">
      <w:pPr>
        <w:pStyle w:val="AMFIntertitreframboise"/>
        <w:ind w:left="426" w:hanging="426"/>
        <w:rPr>
          <w:rFonts w:cs="Arial"/>
          <w:bCs/>
        </w:rPr>
      </w:pPr>
      <w:r>
        <w:rPr>
          <w:color w:val="1967B0"/>
        </w:rPr>
        <w:t>III. Mentions spécifiques aux fonds relevant du règlement (UE) 2017/1131, dit « Règlement MMF »</w:t>
      </w:r>
    </w:p>
    <w:p w14:paraId="1C421106" w14:textId="26AE45AE" w:rsidR="00973BDC" w:rsidRPr="00520BB1" w:rsidRDefault="00973BDC" w:rsidP="00973BDC">
      <w:pPr>
        <w:spacing w:line="240" w:lineRule="auto"/>
        <w:jc w:val="left"/>
        <w:rPr>
          <w:rFonts w:asciiTheme="minorHAnsi" w:eastAsiaTheme="minorHAnsi" w:hAnsiTheme="minorHAnsi" w:cstheme="minorHAnsi"/>
          <w:sz w:val="20"/>
        </w:rPr>
      </w:pPr>
      <w:r w:rsidRPr="00520BB1">
        <w:rPr>
          <w:rFonts w:asciiTheme="minorHAnsi" w:hAnsiTheme="minorHAnsi" w:cstheme="minorHAnsi"/>
          <w:sz w:val="20"/>
        </w:rPr>
        <w:t xml:space="preserve">1° </w:t>
      </w:r>
      <w:r w:rsidRPr="00520BB1">
        <w:rPr>
          <w:rFonts w:asciiTheme="minorHAnsi" w:hAnsiTheme="minorHAnsi" w:cstheme="minorHAnsi"/>
          <w:b/>
          <w:sz w:val="20"/>
          <w:u w:val="single"/>
        </w:rPr>
        <w:t>Mention relative aux caractéristiques du fonds</w:t>
      </w:r>
      <w:r w:rsidRPr="00520BB1">
        <w:rPr>
          <w:rFonts w:asciiTheme="minorHAnsi" w:hAnsiTheme="minorHAnsi" w:cstheme="minorHAnsi"/>
          <w:sz w:val="20"/>
        </w:rPr>
        <w:t xml:space="preserve"> : conformément à l’article 36 paragraphe 1 du Règlement MMF, un fonds monétaire indique clairement quel type de fonds monétaire il est (VNAV, CNAV ou LVNAV), et s'il est un fonds monétaire court terme ou un fonds monétaire standard. </w:t>
      </w:r>
    </w:p>
    <w:p w14:paraId="2D93C515" w14:textId="77777777" w:rsidR="00973BDC" w:rsidRPr="00520BB1" w:rsidRDefault="00973BDC" w:rsidP="00973BDC">
      <w:pPr>
        <w:rPr>
          <w:rFonts w:asciiTheme="minorHAnsi" w:hAnsiTheme="minorHAnsi" w:cstheme="minorHAnsi"/>
          <w:sz w:val="20"/>
        </w:rPr>
      </w:pPr>
    </w:p>
    <w:p w14:paraId="18FC8F6C"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2° </w:t>
      </w:r>
      <w:r w:rsidRPr="00520BB1">
        <w:rPr>
          <w:rFonts w:asciiTheme="minorHAnsi" w:hAnsiTheme="minorHAnsi" w:cstheme="minorHAnsi"/>
          <w:b/>
          <w:bCs/>
          <w:sz w:val="20"/>
          <w:u w:val="single"/>
        </w:rPr>
        <w:t>Mention relative à la politique d’investissement</w:t>
      </w:r>
      <w:r w:rsidRPr="00520BB1">
        <w:rPr>
          <w:rFonts w:asciiTheme="minorHAnsi" w:hAnsiTheme="minorHAnsi" w:cstheme="minorHAnsi"/>
          <w:sz w:val="20"/>
        </w:rPr>
        <w:t xml:space="preserve"> : le cas échéant, en vertu de l’article 17 paragraphe 7.d) du Règlement MMF, un fonds monétaire inclut dans son prospectus, </w:t>
      </w:r>
      <w:r w:rsidRPr="00520BB1">
        <w:rPr>
          <w:rFonts w:asciiTheme="minorHAnsi" w:hAnsiTheme="minorHAnsi" w:cstheme="minorHAnsi"/>
          <w:b/>
          <w:bCs/>
          <w:sz w:val="20"/>
        </w:rPr>
        <w:t>bien en évidence</w:t>
      </w:r>
      <w:r w:rsidRPr="00520BB1">
        <w:rPr>
          <w:rFonts w:asciiTheme="minorHAnsi" w:hAnsiTheme="minorHAnsi" w:cstheme="minorHAnsi"/>
          <w:sz w:val="20"/>
        </w:rPr>
        <w:t xml:space="preserve">,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 </w:t>
      </w:r>
    </w:p>
    <w:p w14:paraId="2C16DF14" w14:textId="77777777" w:rsidR="00973BDC" w:rsidRPr="00520BB1" w:rsidRDefault="00973BDC" w:rsidP="00973BDC">
      <w:pPr>
        <w:spacing w:line="240" w:lineRule="auto"/>
        <w:rPr>
          <w:rFonts w:asciiTheme="minorHAnsi" w:hAnsiTheme="minorHAnsi" w:cstheme="minorHAnsi"/>
          <w:sz w:val="20"/>
        </w:rPr>
      </w:pPr>
    </w:p>
    <w:p w14:paraId="0478C8A1"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3° </w:t>
      </w:r>
      <w:r w:rsidRPr="00520BB1">
        <w:rPr>
          <w:rFonts w:asciiTheme="minorHAnsi" w:hAnsiTheme="minorHAnsi" w:cstheme="minorHAnsi"/>
          <w:b/>
          <w:sz w:val="20"/>
          <w:u w:val="single"/>
        </w:rPr>
        <w:t>Mention relative aux frais</w:t>
      </w:r>
      <w:r w:rsidRPr="00520BB1">
        <w:rPr>
          <w:rFonts w:asciiTheme="minorHAnsi" w:hAnsiTheme="minorHAnsi" w:cstheme="minorHAnsi"/>
          <w:sz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520BB1">
        <w:rPr>
          <w:rStyle w:val="Appelnotedebasdep"/>
          <w:rFonts w:asciiTheme="minorHAnsi" w:hAnsiTheme="minorHAnsi" w:cstheme="minorHAnsi"/>
          <w:sz w:val="20"/>
        </w:rPr>
        <w:footnoteReference w:id="4"/>
      </w:r>
      <w:r w:rsidRPr="00520BB1">
        <w:rPr>
          <w:rFonts w:asciiTheme="minorHAnsi" w:hAnsiTheme="minorHAnsi" w:cstheme="minorHAnsi"/>
          <w:sz w:val="20"/>
        </w:rPr>
        <w:t xml:space="preserve"> ; </w:t>
      </w:r>
    </w:p>
    <w:p w14:paraId="28B56B1B" w14:textId="77777777" w:rsidR="00973BDC" w:rsidRPr="00520BB1" w:rsidRDefault="00973BDC" w:rsidP="00973BDC">
      <w:pPr>
        <w:rPr>
          <w:rFonts w:asciiTheme="minorHAnsi" w:hAnsiTheme="minorHAnsi" w:cstheme="minorHAnsi"/>
          <w:sz w:val="20"/>
        </w:rPr>
      </w:pPr>
    </w:p>
    <w:p w14:paraId="52DAC180"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4° </w:t>
      </w:r>
      <w:r w:rsidRPr="00520BB1">
        <w:rPr>
          <w:rFonts w:asciiTheme="minorHAnsi" w:hAnsiTheme="minorHAnsi" w:cstheme="minorHAnsi"/>
          <w:b/>
          <w:sz w:val="20"/>
          <w:u w:val="single"/>
        </w:rPr>
        <w:t>Mention relative à la notation de crédit externe du fonds</w:t>
      </w:r>
      <w:r w:rsidRPr="00520BB1">
        <w:rPr>
          <w:rFonts w:asciiTheme="minorHAnsi" w:hAnsiTheme="minorHAnsi" w:cstheme="minorHAnsi"/>
          <w:sz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520BB1">
        <w:rPr>
          <w:rStyle w:val="Appelnotedebasdep"/>
          <w:rFonts w:asciiTheme="minorHAnsi" w:hAnsiTheme="minorHAnsi" w:cstheme="minorHAnsi"/>
          <w:sz w:val="20"/>
        </w:rPr>
        <w:footnoteReference w:id="5"/>
      </w:r>
      <w:r w:rsidRPr="00520BB1">
        <w:rPr>
          <w:rFonts w:asciiTheme="minorHAnsi" w:hAnsiTheme="minorHAnsi" w:cstheme="minorHAnsi"/>
          <w:sz w:val="20"/>
        </w:rPr>
        <w:t xml:space="preserve"> ;</w:t>
      </w:r>
    </w:p>
    <w:p w14:paraId="2D3E2B69" w14:textId="77777777" w:rsidR="00973BDC" w:rsidRPr="00520BB1" w:rsidRDefault="00973BDC" w:rsidP="00973BDC">
      <w:pPr>
        <w:rPr>
          <w:rFonts w:asciiTheme="minorHAnsi" w:hAnsiTheme="minorHAnsi" w:cstheme="minorHAnsi"/>
          <w:sz w:val="20"/>
        </w:rPr>
      </w:pPr>
    </w:p>
    <w:p w14:paraId="451421CD"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5° </w:t>
      </w:r>
      <w:r w:rsidRPr="00520BB1">
        <w:rPr>
          <w:rFonts w:asciiTheme="minorHAnsi" w:hAnsiTheme="minorHAnsi" w:cstheme="minorHAnsi"/>
          <w:b/>
          <w:sz w:val="20"/>
          <w:u w:val="single"/>
        </w:rPr>
        <w:t>Mention spécifique aux fonds à valeur liquidative à faible volatilité (LVNAV)</w:t>
      </w:r>
      <w:r w:rsidRPr="00520BB1">
        <w:rPr>
          <w:rFonts w:asciiTheme="minorHAnsi" w:hAnsiTheme="minorHAnsi" w:cstheme="minorHAnsi"/>
          <w:sz w:val="20"/>
        </w:rPr>
        <w:t> : le gestionnaire d'un fonds monétaire indique les circonstances dans lesquelles le fonds LVNAV ne procède plus à un rachat ou à une souscription à une valeur liquidative constante par part ou par action</w:t>
      </w:r>
      <w:r w:rsidRPr="00520BB1">
        <w:rPr>
          <w:rStyle w:val="Appelnotedebasdep"/>
          <w:rFonts w:asciiTheme="minorHAnsi" w:hAnsiTheme="minorHAnsi" w:cstheme="minorHAnsi"/>
          <w:sz w:val="20"/>
        </w:rPr>
        <w:footnoteReference w:id="6"/>
      </w:r>
      <w:r w:rsidRPr="00520BB1">
        <w:rPr>
          <w:rFonts w:asciiTheme="minorHAnsi" w:hAnsiTheme="minorHAnsi" w:cstheme="minorHAnsi"/>
          <w:sz w:val="20"/>
        </w:rPr>
        <w:t>.</w:t>
      </w:r>
    </w:p>
    <w:p w14:paraId="30619A54" w14:textId="77777777" w:rsidR="00973BDC" w:rsidRPr="00520BB1" w:rsidRDefault="00973BDC" w:rsidP="00973BDC">
      <w:pPr>
        <w:rPr>
          <w:rFonts w:asciiTheme="minorHAnsi" w:hAnsiTheme="minorHAnsi" w:cstheme="minorHAnsi"/>
          <w:sz w:val="20"/>
        </w:rPr>
      </w:pPr>
    </w:p>
    <w:p w14:paraId="2B6A4EBA"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6° </w:t>
      </w:r>
      <w:r w:rsidRPr="00520BB1">
        <w:rPr>
          <w:rFonts w:asciiTheme="minorHAnsi" w:hAnsiTheme="minorHAnsi" w:cstheme="minorHAnsi"/>
          <w:b/>
          <w:sz w:val="20"/>
          <w:u w:val="single"/>
        </w:rPr>
        <w:t>Mention relative à la gestion de la liquidité des fonds à valeur liquidative constante et des fonds à valeur liquidative à faible volatilité (CNAV, LVNAV)</w:t>
      </w:r>
      <w:r w:rsidRPr="00520BB1">
        <w:rPr>
          <w:rFonts w:asciiTheme="minorHAnsi" w:hAnsiTheme="minorHAnsi" w:cstheme="minorHAnsi"/>
          <w:sz w:val="20"/>
        </w:rPr>
        <w:t> : , le fonds monétaire décrit les procédures de gestion de la liquidité</w:t>
      </w:r>
      <w:r w:rsidRPr="00520BB1">
        <w:rPr>
          <w:rStyle w:val="Appelnotedebasdep"/>
          <w:rFonts w:asciiTheme="minorHAnsi" w:hAnsiTheme="minorHAnsi" w:cstheme="minorHAnsi"/>
          <w:sz w:val="20"/>
        </w:rPr>
        <w:footnoteReference w:id="7"/>
      </w:r>
      <w:r w:rsidRPr="00520BB1">
        <w:rPr>
          <w:rFonts w:asciiTheme="minorHAnsi" w:hAnsiTheme="minorHAnsi" w:cstheme="minorHAnsi"/>
          <w:sz w:val="20"/>
        </w:rPr>
        <w:t>.</w:t>
      </w:r>
    </w:p>
    <w:p w14:paraId="285AF09E" w14:textId="77777777" w:rsidR="00973BDC" w:rsidRPr="00520BB1" w:rsidRDefault="00973BDC" w:rsidP="00973BDC">
      <w:pPr>
        <w:rPr>
          <w:rFonts w:asciiTheme="minorHAnsi" w:hAnsiTheme="minorHAnsi" w:cstheme="minorHAnsi"/>
          <w:b/>
          <w:sz w:val="20"/>
        </w:rPr>
      </w:pPr>
    </w:p>
    <w:p w14:paraId="43CD95F8"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7° </w:t>
      </w:r>
      <w:r w:rsidRPr="00520BB1">
        <w:rPr>
          <w:rFonts w:asciiTheme="minorHAnsi" w:hAnsiTheme="minorHAnsi" w:cstheme="minorHAnsi"/>
          <w:b/>
          <w:sz w:val="20"/>
          <w:u w:val="single"/>
        </w:rPr>
        <w:t>Mention relative à la valorisation</w:t>
      </w:r>
      <w:r w:rsidRPr="00520BB1">
        <w:rPr>
          <w:rFonts w:asciiTheme="minorHAnsi" w:hAnsiTheme="minorHAnsi" w:cstheme="minorHAnsi"/>
          <w:sz w:val="20"/>
        </w:rPr>
        <w:t xml:space="preserve"> : les investisseurs d’un fonds monétaire doivent être informés de façon claire de la méthode ou des méthodes utilisée(s) par le fonds monétaire pour valoriser les actifs du fonds et </w:t>
      </w:r>
      <w:r w:rsidRPr="00520BB1">
        <w:rPr>
          <w:rFonts w:asciiTheme="minorHAnsi" w:hAnsiTheme="minorHAnsi" w:cstheme="minorHAnsi"/>
          <w:sz w:val="20"/>
        </w:rPr>
        <w:lastRenderedPageBreak/>
        <w:t>calculer la valeur liquidative. En outre, les fonds CNAV et LVNAV doivent clairement expliquer aux investisseurs l’utilisation de la méthode du coût amorti</w:t>
      </w:r>
      <w:r w:rsidRPr="00520BB1">
        <w:rPr>
          <w:rStyle w:val="Appelnotedebasdep"/>
          <w:rFonts w:asciiTheme="minorHAnsi" w:hAnsiTheme="minorHAnsi" w:cstheme="minorHAnsi"/>
          <w:sz w:val="20"/>
        </w:rPr>
        <w:footnoteReference w:id="8"/>
      </w:r>
      <w:r w:rsidRPr="00520BB1">
        <w:rPr>
          <w:rFonts w:asciiTheme="minorHAnsi" w:hAnsiTheme="minorHAnsi" w:cstheme="minorHAnsi"/>
          <w:sz w:val="20"/>
        </w:rPr>
        <w:t>.</w:t>
      </w:r>
    </w:p>
    <w:p w14:paraId="40FF2A41" w14:textId="77777777" w:rsidR="00973BDC" w:rsidRPr="00520BB1" w:rsidRDefault="00973BDC" w:rsidP="00973BDC">
      <w:pPr>
        <w:rPr>
          <w:rFonts w:asciiTheme="minorHAnsi" w:hAnsiTheme="minorHAnsi" w:cstheme="minorHAnsi"/>
          <w:sz w:val="20"/>
        </w:rPr>
      </w:pPr>
      <w:r w:rsidRPr="00520BB1">
        <w:rPr>
          <w:rFonts w:asciiTheme="minorHAnsi" w:hAnsiTheme="minorHAnsi" w:cstheme="minorHAnsi"/>
          <w:sz w:val="20"/>
        </w:rPr>
        <w:t xml:space="preserve">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 </w:t>
      </w:r>
    </w:p>
    <w:p w14:paraId="1804CD51" w14:textId="77777777" w:rsidR="00973BDC" w:rsidRPr="00520BB1" w:rsidRDefault="00973BDC" w:rsidP="00973BDC">
      <w:pPr>
        <w:rPr>
          <w:rFonts w:asciiTheme="minorHAnsi" w:hAnsiTheme="minorHAnsi" w:cstheme="minorHAnsi"/>
          <w:sz w:val="20"/>
        </w:rPr>
      </w:pPr>
    </w:p>
    <w:p w14:paraId="0B455DC4" w14:textId="77777777" w:rsidR="00973BDC" w:rsidRPr="00520BB1" w:rsidRDefault="00973BDC" w:rsidP="00973BDC">
      <w:pPr>
        <w:rPr>
          <w:rFonts w:asciiTheme="minorHAnsi" w:hAnsiTheme="minorHAnsi" w:cstheme="minorHAnsi"/>
          <w:b/>
          <w:sz w:val="20"/>
          <w:u w:val="single"/>
        </w:rPr>
      </w:pPr>
      <w:r w:rsidRPr="00520BB1">
        <w:rPr>
          <w:rFonts w:asciiTheme="minorHAnsi" w:hAnsiTheme="minorHAnsi" w:cstheme="minorHAnsi"/>
          <w:b/>
          <w:sz w:val="20"/>
          <w:u w:val="single"/>
        </w:rPr>
        <w:t>8° Mention relative au calcul de la valeur liquidative par part ou action :</w:t>
      </w:r>
      <w:r w:rsidRPr="00520BB1">
        <w:rPr>
          <w:rFonts w:asciiTheme="minorHAnsi" w:hAnsiTheme="minorHAnsi" w:cstheme="minorHAnsi"/>
          <w:sz w:val="20"/>
        </w:rPr>
        <w:t xml:space="preserve"> les fonds CNAV et LVNAV doivent clairement expliquer aux investisseurs l’utilisation de la méthode des arrondis dans le calcul de la valeur liquidative par part ou action</w:t>
      </w:r>
      <w:r w:rsidRPr="00520BB1">
        <w:rPr>
          <w:rFonts w:asciiTheme="minorHAnsi" w:hAnsiTheme="minorHAnsi" w:cstheme="minorHAnsi"/>
          <w:sz w:val="20"/>
          <w:vertAlign w:val="superscript"/>
        </w:rPr>
        <w:footnoteReference w:id="9"/>
      </w:r>
      <w:r w:rsidRPr="00520BB1">
        <w:rPr>
          <w:rFonts w:asciiTheme="minorHAnsi" w:hAnsiTheme="minorHAnsi" w:cstheme="minorHAnsi"/>
          <w:sz w:val="20"/>
        </w:rPr>
        <w:t>.</w:t>
      </w:r>
    </w:p>
    <w:p w14:paraId="7F2AEAA9" w14:textId="77777777" w:rsidR="00973BDC" w:rsidRPr="00520BB1" w:rsidRDefault="00973BDC" w:rsidP="00973BDC">
      <w:pPr>
        <w:spacing w:line="240" w:lineRule="auto"/>
        <w:rPr>
          <w:rFonts w:asciiTheme="minorHAnsi" w:hAnsiTheme="minorHAnsi" w:cstheme="minorHAnsi"/>
          <w:sz w:val="20"/>
        </w:rPr>
      </w:pPr>
    </w:p>
    <w:p w14:paraId="2C795A05" w14:textId="77777777" w:rsidR="00973BDC" w:rsidRPr="00520BB1" w:rsidRDefault="00973BDC" w:rsidP="00973BDC">
      <w:pPr>
        <w:spacing w:line="240" w:lineRule="auto"/>
        <w:rPr>
          <w:rFonts w:asciiTheme="minorHAnsi" w:hAnsiTheme="minorHAnsi" w:cstheme="minorHAnsi"/>
          <w:sz w:val="20"/>
        </w:rPr>
      </w:pPr>
      <w:r w:rsidRPr="00520BB1">
        <w:rPr>
          <w:rFonts w:asciiTheme="minorHAnsi" w:hAnsiTheme="minorHAnsi" w:cstheme="minorHAnsi"/>
          <w:sz w:val="20"/>
        </w:rPr>
        <w:t xml:space="preserve">9° </w:t>
      </w:r>
      <w:r w:rsidRPr="00520BB1">
        <w:rPr>
          <w:rFonts w:asciiTheme="minorHAnsi" w:hAnsiTheme="minorHAnsi" w:cstheme="minorHAnsi"/>
          <w:b/>
          <w:sz w:val="20"/>
          <w:u w:val="single"/>
        </w:rPr>
        <w:t>Mention relative à la procédure interne d’évaluation de la qualité de crédit des instruments sélectionnés</w:t>
      </w:r>
      <w:r w:rsidRPr="00520BB1">
        <w:rPr>
          <w:rFonts w:asciiTheme="minorHAnsi" w:hAnsiTheme="minorHAnsi" w:cstheme="minorHAnsi"/>
          <w:sz w:val="20"/>
        </w:rPr>
        <w:t xml:space="preserve"> : </w:t>
      </w:r>
    </w:p>
    <w:p w14:paraId="467F38C6" w14:textId="77777777" w:rsidR="00973BDC" w:rsidRPr="00520BB1" w:rsidRDefault="00973BDC" w:rsidP="00973BDC">
      <w:pPr>
        <w:spacing w:line="240" w:lineRule="auto"/>
        <w:rPr>
          <w:rFonts w:asciiTheme="minorHAnsi" w:hAnsiTheme="minorHAnsi" w:cstheme="minorHAnsi"/>
          <w:sz w:val="20"/>
        </w:rPr>
      </w:pPr>
    </w:p>
    <w:p w14:paraId="19B1DE4C" w14:textId="77777777" w:rsidR="00973BDC" w:rsidRPr="00520BB1" w:rsidRDefault="00973BDC" w:rsidP="00973BDC">
      <w:pPr>
        <w:spacing w:line="240" w:lineRule="auto"/>
        <w:rPr>
          <w:rFonts w:asciiTheme="minorHAnsi" w:hAnsiTheme="minorHAnsi" w:cstheme="minorHAnsi"/>
          <w:sz w:val="20"/>
        </w:rPr>
      </w:pPr>
      <w:r w:rsidRPr="00520BB1">
        <w:rPr>
          <w:rFonts w:asciiTheme="minorHAnsi" w:hAnsiTheme="minorHAnsi" w:cstheme="minorHAnsi"/>
          <w:sz w:val="20"/>
        </w:rPr>
        <w:t xml:space="preserve">Le fonds monétaire décrit </w:t>
      </w:r>
      <w:r w:rsidRPr="00520BB1">
        <w:rPr>
          <w:rFonts w:asciiTheme="minorHAnsi" w:hAnsiTheme="minorHAnsi" w:cstheme="minorHAnsi"/>
          <w:b/>
          <w:sz w:val="20"/>
        </w:rPr>
        <w:t>en détail</w:t>
      </w:r>
      <w:r w:rsidRPr="00520BB1">
        <w:rPr>
          <w:rFonts w:asciiTheme="minorHAnsi" w:hAnsiTheme="minorHAnsi" w:cstheme="minorHAnsi"/>
          <w:sz w:val="20"/>
        </w:rPr>
        <w:t xml:space="preserve"> la procédure d’évaluation interne de la qualité de crédit des instruments sélectionnés</w:t>
      </w:r>
      <w:r w:rsidRPr="00520BB1">
        <w:rPr>
          <w:rStyle w:val="Appelnotedebasdep"/>
          <w:rFonts w:asciiTheme="minorHAnsi" w:hAnsiTheme="minorHAnsi" w:cstheme="minorHAnsi"/>
          <w:sz w:val="20"/>
        </w:rPr>
        <w:footnoteReference w:id="10"/>
      </w:r>
      <w:r w:rsidRPr="00520BB1">
        <w:rPr>
          <w:rFonts w:asciiTheme="minorHAnsi" w:hAnsiTheme="minorHAnsi" w:cstheme="minorHAnsi"/>
          <w:sz w:val="20"/>
        </w:rPr>
        <w:t>.</w:t>
      </w:r>
    </w:p>
    <w:p w14:paraId="57A9BF55" w14:textId="77777777" w:rsidR="00973BDC" w:rsidRPr="00520BB1" w:rsidRDefault="00973BDC" w:rsidP="00973BDC">
      <w:pPr>
        <w:spacing w:line="240" w:lineRule="auto"/>
        <w:rPr>
          <w:rFonts w:asciiTheme="minorHAnsi" w:hAnsiTheme="minorHAnsi" w:cstheme="minorHAnsi"/>
          <w:color w:val="1F497D"/>
          <w:sz w:val="20"/>
        </w:rPr>
      </w:pPr>
      <w:r w:rsidRPr="00520BB1">
        <w:rPr>
          <w:rFonts w:asciiTheme="minorHAnsi" w:hAnsiTheme="minorHAnsi" w:cstheme="minorHAnsi"/>
          <w:sz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520BB1">
        <w:rPr>
          <w:rFonts w:asciiTheme="minorHAnsi" w:hAnsiTheme="minorHAnsi" w:cstheme="minorHAnsi"/>
          <w:i/>
          <w:sz w:val="20"/>
        </w:rPr>
        <w:t>a minima</w:t>
      </w:r>
      <w:r w:rsidRPr="00520BB1">
        <w:rPr>
          <w:rFonts w:asciiTheme="minorHAnsi" w:hAnsiTheme="minorHAnsi" w:cstheme="minorHAnsi"/>
          <w:sz w:val="20"/>
        </w:rPr>
        <w:t xml:space="preserve"> un niveau d’information équivalent à celui demandé dans le plan</w:t>
      </w:r>
      <w:r w:rsidRPr="00520BB1">
        <w:rPr>
          <w:rFonts w:asciiTheme="minorHAnsi" w:hAnsiTheme="minorHAnsi" w:cstheme="minorHAnsi"/>
          <w:sz w:val="20"/>
        </w:rPr>
        <w:noBreakHyphen/>
        <w:t>type.</w:t>
      </w:r>
      <w:r w:rsidRPr="00520BB1">
        <w:rPr>
          <w:rFonts w:asciiTheme="minorHAnsi" w:hAnsiTheme="minorHAnsi" w:cstheme="minorHAnsi"/>
          <w:color w:val="1F497D"/>
          <w:sz w:val="20"/>
        </w:rPr>
        <w:t xml:space="preserve"> </w:t>
      </w:r>
    </w:p>
    <w:p w14:paraId="261E02C9" w14:textId="77777777" w:rsidR="00973BDC" w:rsidRPr="00520BB1" w:rsidRDefault="00973BDC" w:rsidP="00973BDC">
      <w:pPr>
        <w:spacing w:line="240" w:lineRule="auto"/>
        <w:rPr>
          <w:rFonts w:asciiTheme="minorHAnsi" w:hAnsiTheme="minorHAnsi" w:cstheme="minorHAnsi"/>
          <w:color w:val="1F497D"/>
          <w:sz w:val="20"/>
        </w:rPr>
      </w:pPr>
    </w:p>
    <w:p w14:paraId="685DA9DD" w14:textId="77777777" w:rsidR="00973BDC" w:rsidRPr="00520BB1" w:rsidRDefault="00973BDC" w:rsidP="00973BDC">
      <w:pPr>
        <w:pStyle w:val="Paragraphedeliste"/>
        <w:numPr>
          <w:ilvl w:val="0"/>
          <w:numId w:val="6"/>
        </w:numPr>
        <w:spacing w:line="240" w:lineRule="auto"/>
        <w:rPr>
          <w:rFonts w:asciiTheme="minorHAnsi" w:eastAsiaTheme="minorHAnsi" w:hAnsiTheme="minorHAnsi" w:cstheme="minorHAnsi"/>
          <w:i/>
          <w:sz w:val="20"/>
        </w:rPr>
      </w:pPr>
      <w:r w:rsidRPr="00520BB1">
        <w:rPr>
          <w:rFonts w:asciiTheme="minorHAnsi" w:hAnsiTheme="minorHAnsi" w:cstheme="minorHAnsi"/>
          <w:i/>
          <w:sz w:val="20"/>
        </w:rPr>
        <w:t>L’essentiel</w:t>
      </w:r>
    </w:p>
    <w:p w14:paraId="6C4A831C" w14:textId="77777777" w:rsidR="00973BDC" w:rsidRPr="00520BB1" w:rsidRDefault="00973BDC" w:rsidP="00973BDC">
      <w:pPr>
        <w:pStyle w:val="Paragraphedeliste"/>
        <w:numPr>
          <w:ilvl w:val="0"/>
          <w:numId w:val="7"/>
        </w:numPr>
        <w:spacing w:line="240" w:lineRule="auto"/>
        <w:rPr>
          <w:rFonts w:asciiTheme="minorHAnsi" w:hAnsiTheme="minorHAnsi" w:cstheme="minorHAnsi"/>
          <w:i/>
          <w:sz w:val="20"/>
        </w:rPr>
      </w:pPr>
      <w:r w:rsidRPr="00520BB1">
        <w:rPr>
          <w:rFonts w:asciiTheme="minorHAnsi" w:hAnsiTheme="minorHAnsi" w:cstheme="minorHAnsi"/>
          <w:i/>
          <w:sz w:val="20"/>
        </w:rPr>
        <w:t>Description de la manière dont la SGP détermine que la qualité de crédit est positive au sens du Règlement MMF (grille de notation interne avec une note minimale exigée, caractère éligible/non-éligible sanctionné par un comité…);</w:t>
      </w:r>
    </w:p>
    <w:p w14:paraId="0194C4BC" w14:textId="77777777" w:rsidR="00973BDC" w:rsidRPr="00520BB1" w:rsidRDefault="00973BDC" w:rsidP="00973BDC">
      <w:pPr>
        <w:pStyle w:val="Paragraphedeliste"/>
        <w:numPr>
          <w:ilvl w:val="0"/>
          <w:numId w:val="7"/>
        </w:numPr>
        <w:spacing w:line="240" w:lineRule="auto"/>
        <w:rPr>
          <w:rFonts w:asciiTheme="minorHAnsi" w:hAnsiTheme="minorHAnsi" w:cstheme="minorHAnsi"/>
          <w:i/>
          <w:sz w:val="20"/>
        </w:rPr>
      </w:pPr>
      <w:r w:rsidRPr="00520BB1">
        <w:rPr>
          <w:rFonts w:asciiTheme="minorHAnsi" w:hAnsiTheme="minorHAnsi" w:cstheme="minorHAnsi"/>
          <w:i/>
          <w:sz w:val="20"/>
        </w:rPr>
        <w:t>Mise en avant de l’indépendance de cette détermination (indépendance des équipes en charge de la notation interne, indépendance de la gouvernance du comité en charge de déterminer le caractère positif…)</w:t>
      </w:r>
    </w:p>
    <w:p w14:paraId="434C01A4" w14:textId="77777777" w:rsidR="00973BDC" w:rsidRPr="00520BB1" w:rsidRDefault="00973BDC" w:rsidP="00973BDC">
      <w:pPr>
        <w:spacing w:line="240" w:lineRule="auto"/>
        <w:rPr>
          <w:rFonts w:asciiTheme="minorHAnsi" w:hAnsiTheme="minorHAnsi" w:cstheme="minorHAnsi"/>
          <w:i/>
          <w:sz w:val="20"/>
        </w:rPr>
      </w:pPr>
    </w:p>
    <w:p w14:paraId="55E7C3E6" w14:textId="77777777" w:rsidR="00973BDC" w:rsidRPr="00520BB1" w:rsidRDefault="00973BDC" w:rsidP="00973BDC">
      <w:pPr>
        <w:pStyle w:val="Paragraphedeliste"/>
        <w:numPr>
          <w:ilvl w:val="0"/>
          <w:numId w:val="6"/>
        </w:numPr>
        <w:spacing w:line="240" w:lineRule="auto"/>
        <w:rPr>
          <w:rFonts w:asciiTheme="minorHAnsi" w:hAnsiTheme="minorHAnsi" w:cstheme="minorHAnsi"/>
          <w:i/>
          <w:sz w:val="20"/>
        </w:rPr>
      </w:pPr>
      <w:r w:rsidRPr="00520BB1">
        <w:rPr>
          <w:rFonts w:asciiTheme="minorHAnsi" w:hAnsiTheme="minorHAnsi" w:cstheme="minorHAnsi"/>
          <w:i/>
          <w:sz w:val="20"/>
        </w:rPr>
        <w:t xml:space="preserve">Description du périmètre de la procédure </w:t>
      </w:r>
    </w:p>
    <w:p w14:paraId="37533342" w14:textId="77777777" w:rsidR="00973BDC" w:rsidRPr="00520BB1" w:rsidRDefault="00973BDC" w:rsidP="00973BDC">
      <w:pPr>
        <w:pStyle w:val="Paragraphedeliste"/>
        <w:rPr>
          <w:rFonts w:asciiTheme="minorHAnsi" w:hAnsiTheme="minorHAnsi" w:cstheme="minorHAnsi"/>
          <w:i/>
          <w:sz w:val="20"/>
        </w:rPr>
      </w:pPr>
    </w:p>
    <w:p w14:paraId="0DE2499D" w14:textId="77777777" w:rsidR="00973BDC" w:rsidRPr="00520BB1" w:rsidRDefault="00973BDC" w:rsidP="00973BDC">
      <w:pPr>
        <w:pStyle w:val="Paragraphedeliste"/>
        <w:numPr>
          <w:ilvl w:val="0"/>
          <w:numId w:val="5"/>
        </w:numPr>
        <w:spacing w:line="240" w:lineRule="auto"/>
        <w:rPr>
          <w:rFonts w:asciiTheme="minorHAnsi" w:hAnsiTheme="minorHAnsi" w:cstheme="minorHAnsi"/>
          <w:i/>
          <w:sz w:val="20"/>
        </w:rPr>
      </w:pPr>
      <w:r w:rsidRPr="00520BB1">
        <w:rPr>
          <w:rFonts w:asciiTheme="minorHAnsi" w:hAnsiTheme="minorHAnsi" w:cstheme="minorHAnsi"/>
          <w:i/>
          <w:sz w:val="20"/>
        </w:rPr>
        <w:t>But de la procédure</w:t>
      </w:r>
    </w:p>
    <w:p w14:paraId="3D2ECF52"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Permettre l’investissement dans des actifs de bonne qualité de crédit.</w:t>
      </w:r>
    </w:p>
    <w:p w14:paraId="47D45AF9" w14:textId="77777777" w:rsidR="00973BDC" w:rsidRPr="00520BB1" w:rsidRDefault="00973BDC" w:rsidP="00973BDC">
      <w:pPr>
        <w:pStyle w:val="Paragraphedeliste"/>
        <w:numPr>
          <w:ilvl w:val="0"/>
          <w:numId w:val="5"/>
        </w:numPr>
        <w:spacing w:line="240" w:lineRule="auto"/>
        <w:rPr>
          <w:rFonts w:asciiTheme="minorHAnsi" w:hAnsiTheme="minorHAnsi" w:cstheme="minorHAnsi"/>
          <w:i/>
          <w:sz w:val="20"/>
        </w:rPr>
      </w:pPr>
      <w:r w:rsidRPr="00520BB1">
        <w:rPr>
          <w:rFonts w:asciiTheme="minorHAnsi" w:hAnsiTheme="minorHAnsi" w:cstheme="minorHAnsi"/>
          <w:i/>
          <w:sz w:val="20"/>
        </w:rPr>
        <w:t>Périmètre d’application</w:t>
      </w:r>
    </w:p>
    <w:p w14:paraId="38B2E8A9"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Champ minimal règlement MMF</w:t>
      </w:r>
    </w:p>
    <w:p w14:paraId="42946BF1"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Extensions éventuelles : ex. IMM de banques centrales</w:t>
      </w:r>
    </w:p>
    <w:p w14:paraId="52FDE081" w14:textId="77777777" w:rsidR="00973BDC" w:rsidRPr="00520BB1" w:rsidRDefault="00973BDC" w:rsidP="00973BDC">
      <w:pPr>
        <w:pStyle w:val="Paragraphedeliste"/>
        <w:ind w:left="2160" w:hanging="360"/>
        <w:rPr>
          <w:rFonts w:asciiTheme="minorHAnsi" w:hAnsiTheme="minorHAnsi" w:cstheme="minorHAnsi"/>
          <w:i/>
          <w:sz w:val="20"/>
        </w:rPr>
      </w:pPr>
    </w:p>
    <w:p w14:paraId="709A9A8A" w14:textId="77777777" w:rsidR="00973BDC" w:rsidRPr="00520BB1" w:rsidRDefault="00973BDC" w:rsidP="00973BDC">
      <w:pPr>
        <w:pStyle w:val="Paragraphedeliste"/>
        <w:numPr>
          <w:ilvl w:val="0"/>
          <w:numId w:val="6"/>
        </w:numPr>
        <w:spacing w:line="240" w:lineRule="auto"/>
        <w:rPr>
          <w:rFonts w:asciiTheme="minorHAnsi" w:hAnsiTheme="minorHAnsi" w:cstheme="minorHAnsi"/>
          <w:i/>
          <w:sz w:val="20"/>
        </w:rPr>
      </w:pPr>
      <w:r w:rsidRPr="00520BB1">
        <w:rPr>
          <w:rFonts w:asciiTheme="minorHAnsi" w:hAnsiTheme="minorHAnsi" w:cstheme="minorHAnsi"/>
          <w:i/>
          <w:sz w:val="20"/>
        </w:rPr>
        <w:t xml:space="preserve">Description des acteurs de la procédure </w:t>
      </w:r>
    </w:p>
    <w:p w14:paraId="76278CA0" w14:textId="77777777" w:rsidR="00973BDC" w:rsidRPr="00520BB1" w:rsidRDefault="00973BDC" w:rsidP="00973BDC">
      <w:pPr>
        <w:pStyle w:val="Paragraphedeliste"/>
        <w:rPr>
          <w:rFonts w:asciiTheme="minorHAnsi" w:hAnsiTheme="minorHAnsi" w:cstheme="minorHAnsi"/>
          <w:i/>
          <w:sz w:val="20"/>
        </w:rPr>
      </w:pPr>
    </w:p>
    <w:p w14:paraId="664AD6ED" w14:textId="77777777" w:rsidR="00973BDC" w:rsidRPr="00520BB1" w:rsidRDefault="00973BDC" w:rsidP="00973BDC">
      <w:pPr>
        <w:pStyle w:val="Paragraphedeliste"/>
        <w:numPr>
          <w:ilvl w:val="0"/>
          <w:numId w:val="5"/>
        </w:numPr>
        <w:spacing w:line="240" w:lineRule="auto"/>
        <w:rPr>
          <w:rFonts w:asciiTheme="minorHAnsi" w:hAnsiTheme="minorHAnsi" w:cstheme="minorHAnsi"/>
          <w:i/>
          <w:sz w:val="20"/>
        </w:rPr>
      </w:pPr>
      <w:r w:rsidRPr="00520BB1">
        <w:rPr>
          <w:rFonts w:asciiTheme="minorHAnsi" w:hAnsiTheme="minorHAnsi" w:cstheme="minorHAnsi"/>
          <w:i/>
          <w:sz w:val="20"/>
        </w:rPr>
        <w:t xml:space="preserve">Personnes en charges des différentes tâches : </w:t>
      </w:r>
    </w:p>
    <w:p w14:paraId="6024253A"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collecter l’information (ex : fonction risque, back office)</w:t>
      </w:r>
    </w:p>
    <w:p w14:paraId="65B507D2"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mettre en œuvre la méthodologie (ex : équipe dédiée d’analystes, contribution des gestionnaires)</w:t>
      </w:r>
    </w:p>
    <w:p w14:paraId="6CF9F6C0"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valider l’output (ex : comité crédit)</w:t>
      </w:r>
    </w:p>
    <w:p w14:paraId="4C7C206E" w14:textId="77777777" w:rsidR="00973BDC" w:rsidRPr="00520BB1" w:rsidRDefault="00973BDC" w:rsidP="00973BDC">
      <w:pPr>
        <w:pStyle w:val="Paragraphedeliste"/>
        <w:numPr>
          <w:ilvl w:val="1"/>
          <w:numId w:val="5"/>
        </w:numPr>
        <w:spacing w:line="240" w:lineRule="auto"/>
        <w:rPr>
          <w:rFonts w:asciiTheme="minorHAnsi" w:hAnsiTheme="minorHAnsi" w:cstheme="minorHAnsi"/>
          <w:i/>
          <w:sz w:val="20"/>
        </w:rPr>
      </w:pPr>
      <w:r w:rsidRPr="00520BB1">
        <w:rPr>
          <w:rFonts w:asciiTheme="minorHAnsi" w:hAnsiTheme="minorHAnsi" w:cstheme="minorHAnsi"/>
          <w:i/>
          <w:sz w:val="20"/>
        </w:rPr>
        <w:t>contrôler la mise en œuvre/revoir/valider la méthodologie (ex : fonction risque, audit, direction générale)</w:t>
      </w:r>
    </w:p>
    <w:p w14:paraId="50F4FF64" w14:textId="77777777" w:rsidR="00973BDC" w:rsidRPr="00520BB1" w:rsidRDefault="00973BDC" w:rsidP="00973BDC">
      <w:pPr>
        <w:pStyle w:val="Paragraphedeliste"/>
        <w:ind w:left="2160" w:hanging="360"/>
        <w:rPr>
          <w:rFonts w:asciiTheme="minorHAnsi" w:hAnsiTheme="minorHAnsi" w:cstheme="minorHAnsi"/>
          <w:i/>
          <w:sz w:val="20"/>
        </w:rPr>
      </w:pPr>
    </w:p>
    <w:p w14:paraId="61F67A97" w14:textId="77777777" w:rsidR="00973BDC" w:rsidRPr="00520BB1" w:rsidRDefault="00973BDC" w:rsidP="00973BDC">
      <w:pPr>
        <w:pStyle w:val="Paragraphedeliste"/>
        <w:numPr>
          <w:ilvl w:val="0"/>
          <w:numId w:val="6"/>
        </w:numPr>
        <w:spacing w:line="240" w:lineRule="auto"/>
        <w:rPr>
          <w:rFonts w:asciiTheme="minorHAnsi" w:hAnsiTheme="minorHAnsi" w:cstheme="minorHAnsi"/>
          <w:i/>
          <w:sz w:val="20"/>
        </w:rPr>
      </w:pPr>
      <w:r w:rsidRPr="00520BB1">
        <w:rPr>
          <w:rFonts w:asciiTheme="minorHAnsi" w:hAnsiTheme="minorHAnsi" w:cstheme="minorHAnsi"/>
          <w:i/>
          <w:sz w:val="20"/>
        </w:rPr>
        <w:t xml:space="preserve">Fréquence de mise en œuvre de l’évaluation </w:t>
      </w:r>
    </w:p>
    <w:p w14:paraId="47C9D5D6" w14:textId="77777777" w:rsidR="00973BDC" w:rsidRPr="00520BB1" w:rsidRDefault="00973BDC" w:rsidP="00973BDC">
      <w:pPr>
        <w:pStyle w:val="Paragraphedeliste"/>
        <w:rPr>
          <w:rFonts w:asciiTheme="minorHAnsi" w:hAnsiTheme="minorHAnsi" w:cstheme="minorHAnsi"/>
          <w:i/>
          <w:sz w:val="20"/>
        </w:rPr>
      </w:pPr>
    </w:p>
    <w:p w14:paraId="251D4A8F" w14:textId="77777777" w:rsidR="00973BDC" w:rsidRPr="00520BB1" w:rsidRDefault="00973BDC" w:rsidP="00973BDC">
      <w:pPr>
        <w:pStyle w:val="Paragraphedeliste"/>
        <w:numPr>
          <w:ilvl w:val="0"/>
          <w:numId w:val="5"/>
        </w:numPr>
        <w:spacing w:line="240" w:lineRule="auto"/>
        <w:rPr>
          <w:rFonts w:asciiTheme="minorHAnsi" w:hAnsiTheme="minorHAnsi" w:cstheme="minorHAnsi"/>
          <w:i/>
          <w:sz w:val="20"/>
        </w:rPr>
      </w:pPr>
      <w:r w:rsidRPr="00520BB1">
        <w:rPr>
          <w:rFonts w:asciiTheme="minorHAnsi" w:hAnsiTheme="minorHAnsi" w:cstheme="minorHAnsi"/>
          <w:i/>
          <w:sz w:val="20"/>
        </w:rPr>
        <w:t>Fréquence de revue des évaluations,</w:t>
      </w:r>
      <w:r w:rsidRPr="00520BB1">
        <w:rPr>
          <w:rFonts w:asciiTheme="minorHAnsi" w:hAnsiTheme="minorHAnsi" w:cstheme="minorHAnsi"/>
          <w:i/>
          <w:color w:val="00B0F0"/>
          <w:sz w:val="20"/>
        </w:rPr>
        <w:t xml:space="preserve"> </w:t>
      </w:r>
    </w:p>
    <w:p w14:paraId="6FC2254A" w14:textId="77777777" w:rsidR="00973BDC" w:rsidRPr="00520BB1" w:rsidRDefault="00973BDC" w:rsidP="00973BDC">
      <w:pPr>
        <w:pStyle w:val="Paragraphedeliste"/>
        <w:numPr>
          <w:ilvl w:val="0"/>
          <w:numId w:val="5"/>
        </w:numPr>
        <w:spacing w:line="240" w:lineRule="auto"/>
        <w:rPr>
          <w:rFonts w:asciiTheme="minorHAnsi" w:hAnsiTheme="minorHAnsi" w:cstheme="minorHAnsi"/>
          <w:i/>
          <w:color w:val="00B0F0"/>
          <w:sz w:val="20"/>
        </w:rPr>
      </w:pPr>
      <w:r w:rsidRPr="00520BB1">
        <w:rPr>
          <w:rFonts w:asciiTheme="minorHAnsi" w:hAnsiTheme="minorHAnsi" w:cstheme="minorHAnsi"/>
          <w:i/>
          <w:sz w:val="20"/>
        </w:rPr>
        <w:t xml:space="preserve">Possibilité de revoir l’évaluation de manière </w:t>
      </w:r>
      <w:r w:rsidRPr="00520BB1">
        <w:rPr>
          <w:rFonts w:asciiTheme="minorHAnsi" w:hAnsiTheme="minorHAnsi" w:cstheme="minorHAnsi"/>
          <w:i/>
          <w:iCs/>
          <w:sz w:val="20"/>
        </w:rPr>
        <w:t>ad hoc</w:t>
      </w:r>
      <w:r w:rsidRPr="00520BB1">
        <w:rPr>
          <w:rFonts w:asciiTheme="minorHAnsi" w:hAnsiTheme="minorHAnsi" w:cstheme="minorHAnsi"/>
          <w:i/>
          <w:sz w:val="20"/>
        </w:rPr>
        <w:t xml:space="preserve"> en cas d’évènement significatif </w:t>
      </w:r>
    </w:p>
    <w:p w14:paraId="061D83D1" w14:textId="77777777" w:rsidR="00973BDC" w:rsidRPr="00520BB1" w:rsidRDefault="00973BDC" w:rsidP="00973BDC">
      <w:pPr>
        <w:pStyle w:val="Paragraphedeliste"/>
        <w:ind w:left="1440" w:hanging="360"/>
        <w:rPr>
          <w:rFonts w:asciiTheme="minorHAnsi" w:hAnsiTheme="minorHAnsi" w:cstheme="minorHAnsi"/>
          <w:i/>
          <w:sz w:val="20"/>
        </w:rPr>
      </w:pPr>
    </w:p>
    <w:p w14:paraId="3556AD30" w14:textId="77777777" w:rsidR="00973BDC" w:rsidRPr="00520BB1" w:rsidRDefault="00973BDC" w:rsidP="00973BDC">
      <w:pPr>
        <w:pStyle w:val="Paragraphedeliste"/>
        <w:numPr>
          <w:ilvl w:val="0"/>
          <w:numId w:val="6"/>
        </w:numPr>
        <w:spacing w:line="240" w:lineRule="auto"/>
        <w:rPr>
          <w:rFonts w:asciiTheme="minorHAnsi" w:hAnsiTheme="minorHAnsi" w:cstheme="minorHAnsi"/>
          <w:i/>
          <w:sz w:val="20"/>
        </w:rPr>
      </w:pPr>
      <w:r w:rsidRPr="00520BB1">
        <w:rPr>
          <w:rFonts w:asciiTheme="minorHAnsi" w:hAnsiTheme="minorHAnsi" w:cstheme="minorHAnsi"/>
          <w:i/>
          <w:sz w:val="20"/>
        </w:rPr>
        <w:t xml:space="preserve">Description des </w:t>
      </w:r>
      <w:r w:rsidRPr="00520BB1">
        <w:rPr>
          <w:rFonts w:asciiTheme="minorHAnsi" w:hAnsiTheme="minorHAnsi" w:cstheme="minorHAnsi"/>
          <w:i/>
          <w:iCs/>
          <w:sz w:val="20"/>
        </w:rPr>
        <w:t>paramètres d’entrée et de sortie de la procédure</w:t>
      </w:r>
    </w:p>
    <w:p w14:paraId="593ED01F" w14:textId="77777777" w:rsidR="00973BDC" w:rsidRPr="00520BB1" w:rsidRDefault="00973BDC" w:rsidP="00973BDC">
      <w:pPr>
        <w:pStyle w:val="Paragraphedeliste"/>
        <w:rPr>
          <w:rFonts w:asciiTheme="minorHAnsi" w:hAnsiTheme="minorHAnsi" w:cstheme="minorHAnsi"/>
          <w:i/>
          <w:sz w:val="20"/>
        </w:rPr>
      </w:pPr>
    </w:p>
    <w:p w14:paraId="59C30C41" w14:textId="77777777" w:rsidR="00973BDC" w:rsidRPr="00520BB1" w:rsidRDefault="00973BDC" w:rsidP="00973BDC">
      <w:pPr>
        <w:pStyle w:val="Paragraphedeliste"/>
        <w:numPr>
          <w:ilvl w:val="0"/>
          <w:numId w:val="5"/>
        </w:numPr>
        <w:spacing w:line="240" w:lineRule="auto"/>
        <w:rPr>
          <w:rFonts w:asciiTheme="minorHAnsi" w:hAnsiTheme="minorHAnsi" w:cstheme="minorHAnsi"/>
          <w:i/>
          <w:sz w:val="20"/>
        </w:rPr>
      </w:pPr>
      <w:r w:rsidRPr="00520BB1">
        <w:rPr>
          <w:rFonts w:asciiTheme="minorHAnsi" w:hAnsiTheme="minorHAnsi" w:cstheme="minorHAnsi"/>
          <w:i/>
          <w:sz w:val="20"/>
        </w:rPr>
        <w:lastRenderedPageBreak/>
        <w:t xml:space="preserve">Fournir les inputs de la méthodologie </w:t>
      </w:r>
      <w:bookmarkStart w:id="0" w:name="_GoBack"/>
      <w:bookmarkEnd w:id="0"/>
    </w:p>
    <w:p w14:paraId="2AB9EF08" w14:textId="77777777" w:rsidR="00973BDC" w:rsidRPr="00520BB1" w:rsidRDefault="00973BDC" w:rsidP="00973BDC">
      <w:pPr>
        <w:pStyle w:val="Paragraphedeliste"/>
        <w:numPr>
          <w:ilvl w:val="0"/>
          <w:numId w:val="5"/>
        </w:numPr>
        <w:spacing w:line="240" w:lineRule="auto"/>
        <w:rPr>
          <w:rFonts w:asciiTheme="minorHAnsi" w:hAnsiTheme="minorHAnsi" w:cstheme="minorHAnsi"/>
          <w:i/>
          <w:color w:val="00B0F0"/>
          <w:sz w:val="20"/>
        </w:rPr>
      </w:pPr>
      <w:r w:rsidRPr="00520BB1">
        <w:rPr>
          <w:rFonts w:asciiTheme="minorHAnsi" w:hAnsiTheme="minorHAnsi" w:cstheme="minorHAnsi"/>
          <w:i/>
          <w:sz w:val="20"/>
        </w:rPr>
        <w:t xml:space="preserve">Fournir les sources (ex : rapports annuels publics collectés à chaque revue, spreads de crédit rapatriés sur l’outil risque, veille de presse, etc.) </w:t>
      </w:r>
    </w:p>
    <w:p w14:paraId="3A13E272" w14:textId="77777777" w:rsidR="00973BDC" w:rsidRPr="005535DB" w:rsidRDefault="00973BDC" w:rsidP="00973BDC">
      <w:pPr>
        <w:pStyle w:val="Paragraphedeliste"/>
        <w:numPr>
          <w:ilvl w:val="0"/>
          <w:numId w:val="5"/>
        </w:numPr>
        <w:spacing w:line="240" w:lineRule="auto"/>
        <w:rPr>
          <w:rFonts w:asciiTheme="minorHAnsi" w:hAnsiTheme="minorHAnsi" w:cstheme="minorHAnsi"/>
          <w:i/>
          <w:sz w:val="20"/>
        </w:rPr>
      </w:pPr>
      <w:r w:rsidRPr="00520BB1">
        <w:rPr>
          <w:rFonts w:asciiTheme="minorHAnsi" w:hAnsiTheme="minorHAnsi" w:cstheme="minorHAnsi"/>
          <w:i/>
          <w:sz w:val="20"/>
        </w:rPr>
        <w:t xml:space="preserve">Décrire l’output qui permet de déterminer si l’émetteur fait l’objet d’une évaluation de crédit positive : « black list », « green </w:t>
      </w:r>
      <w:r w:rsidRPr="005535DB">
        <w:rPr>
          <w:rFonts w:asciiTheme="minorHAnsi" w:hAnsiTheme="minorHAnsi" w:cstheme="minorHAnsi"/>
          <w:i/>
          <w:sz w:val="20"/>
        </w:rPr>
        <w:t>list », score avec seuil minimal…</w:t>
      </w:r>
    </w:p>
    <w:p w14:paraId="27E2EF68" w14:textId="77777777" w:rsidR="00973BDC" w:rsidRPr="005535DB" w:rsidRDefault="00973BDC" w:rsidP="00973BDC">
      <w:pPr>
        <w:pStyle w:val="Paragraphedeliste"/>
        <w:ind w:left="1440" w:hanging="360"/>
        <w:rPr>
          <w:rFonts w:asciiTheme="minorHAnsi" w:hAnsiTheme="minorHAnsi" w:cstheme="minorHAnsi"/>
          <w:i/>
          <w:sz w:val="20"/>
        </w:rPr>
      </w:pPr>
    </w:p>
    <w:p w14:paraId="480720E7" w14:textId="77777777" w:rsidR="00973BDC" w:rsidRPr="005535DB" w:rsidRDefault="00973BDC" w:rsidP="00973BDC">
      <w:pPr>
        <w:pStyle w:val="Paragraphedeliste"/>
        <w:numPr>
          <w:ilvl w:val="0"/>
          <w:numId w:val="6"/>
        </w:numPr>
        <w:spacing w:line="240" w:lineRule="auto"/>
        <w:rPr>
          <w:rFonts w:asciiTheme="minorHAnsi" w:hAnsiTheme="minorHAnsi" w:cstheme="minorHAnsi"/>
          <w:i/>
          <w:sz w:val="20"/>
        </w:rPr>
      </w:pPr>
      <w:r w:rsidRPr="005535DB">
        <w:rPr>
          <w:rFonts w:asciiTheme="minorHAnsi" w:hAnsiTheme="minorHAnsi" w:cstheme="minorHAnsi"/>
          <w:i/>
          <w:sz w:val="20"/>
        </w:rPr>
        <w:t>Description de la méthodologie [art. 21§1 a et b du règlement]</w:t>
      </w:r>
    </w:p>
    <w:p w14:paraId="548619A1" w14:textId="77777777" w:rsidR="00973BDC" w:rsidRPr="005535DB" w:rsidRDefault="00973BDC" w:rsidP="00973BDC">
      <w:pPr>
        <w:pStyle w:val="Paragraphedeliste"/>
        <w:rPr>
          <w:rFonts w:asciiTheme="minorHAnsi" w:hAnsiTheme="minorHAnsi" w:cstheme="minorHAnsi"/>
          <w:i/>
          <w:sz w:val="20"/>
        </w:rPr>
      </w:pPr>
    </w:p>
    <w:p w14:paraId="37921BEB" w14:textId="77777777" w:rsidR="00973BDC" w:rsidRPr="005535DB" w:rsidRDefault="00973BDC" w:rsidP="00973BDC">
      <w:pPr>
        <w:pStyle w:val="Paragraphedeliste"/>
        <w:numPr>
          <w:ilvl w:val="0"/>
          <w:numId w:val="5"/>
        </w:numPr>
        <w:spacing w:line="240" w:lineRule="auto"/>
        <w:rPr>
          <w:rFonts w:asciiTheme="minorHAnsi" w:hAnsiTheme="minorHAnsi" w:cstheme="minorHAnsi"/>
          <w:i/>
          <w:sz w:val="20"/>
        </w:rPr>
      </w:pPr>
      <w:r w:rsidRPr="005535DB">
        <w:rPr>
          <w:rFonts w:asciiTheme="minorHAnsi" w:hAnsiTheme="minorHAnsi" w:cstheme="minorHAnsi"/>
          <w:i/>
          <w:sz w:val="20"/>
        </w:rPr>
        <w:t xml:space="preserve">Bien distinguer le cas échéant les méthodologies par type d’actif/contrepartie (ex : une méthodologie pour les compagnies financières, une pour les corporates, une pour les ABCP) </w:t>
      </w:r>
    </w:p>
    <w:p w14:paraId="7B45C575" w14:textId="77777777" w:rsidR="00973BDC" w:rsidRPr="005535DB" w:rsidRDefault="00973BDC" w:rsidP="00973BDC">
      <w:pPr>
        <w:pStyle w:val="Paragraphedeliste"/>
        <w:numPr>
          <w:ilvl w:val="0"/>
          <w:numId w:val="5"/>
        </w:numPr>
        <w:spacing w:line="240" w:lineRule="auto"/>
        <w:rPr>
          <w:rFonts w:asciiTheme="minorHAnsi" w:hAnsiTheme="minorHAnsi" w:cstheme="minorHAnsi"/>
          <w:i/>
          <w:sz w:val="20"/>
        </w:rPr>
      </w:pPr>
      <w:r w:rsidRPr="005535DB">
        <w:rPr>
          <w:rFonts w:asciiTheme="minorHAnsi" w:hAnsiTheme="minorHAnsi" w:cstheme="minorHAnsi"/>
          <w:i/>
          <w:sz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3EB51775" w14:textId="77777777" w:rsidR="00973BDC" w:rsidRPr="005535DB" w:rsidRDefault="00973BDC" w:rsidP="00973BDC">
      <w:pPr>
        <w:pStyle w:val="Paragraphedeliste"/>
        <w:ind w:left="1440" w:hanging="360"/>
        <w:rPr>
          <w:rFonts w:asciiTheme="minorHAnsi" w:hAnsiTheme="minorHAnsi" w:cstheme="minorHAnsi"/>
          <w:i/>
          <w:sz w:val="20"/>
        </w:rPr>
      </w:pPr>
    </w:p>
    <w:p w14:paraId="4451CA61" w14:textId="77777777" w:rsidR="00973BDC" w:rsidRPr="005535DB" w:rsidRDefault="00973BDC" w:rsidP="00973BDC">
      <w:pPr>
        <w:pStyle w:val="Paragraphedeliste"/>
        <w:numPr>
          <w:ilvl w:val="0"/>
          <w:numId w:val="6"/>
        </w:numPr>
        <w:spacing w:line="240" w:lineRule="auto"/>
        <w:rPr>
          <w:rFonts w:asciiTheme="minorHAnsi" w:hAnsiTheme="minorHAnsi" w:cstheme="minorHAnsi"/>
          <w:i/>
          <w:sz w:val="20"/>
        </w:rPr>
      </w:pPr>
      <w:r w:rsidRPr="005535DB">
        <w:rPr>
          <w:rFonts w:asciiTheme="minorHAnsi" w:hAnsiTheme="minorHAnsi" w:cstheme="minorHAnsi"/>
          <w:i/>
          <w:sz w:val="20"/>
        </w:rPr>
        <w:t xml:space="preserve">Description du cadre de revue </w:t>
      </w:r>
    </w:p>
    <w:p w14:paraId="10CDD424" w14:textId="77777777" w:rsidR="00973BDC" w:rsidRPr="005535DB" w:rsidRDefault="00973BDC" w:rsidP="00973BDC">
      <w:pPr>
        <w:pStyle w:val="Paragraphedeliste"/>
        <w:numPr>
          <w:ilvl w:val="0"/>
          <w:numId w:val="5"/>
        </w:numPr>
        <w:spacing w:line="240" w:lineRule="auto"/>
        <w:rPr>
          <w:rFonts w:asciiTheme="minorHAnsi" w:hAnsiTheme="minorHAnsi" w:cstheme="minorHAnsi"/>
          <w:i/>
          <w:sz w:val="20"/>
        </w:rPr>
      </w:pPr>
      <w:r w:rsidRPr="005535DB">
        <w:rPr>
          <w:rFonts w:asciiTheme="minorHAnsi" w:hAnsiTheme="minorHAnsi" w:cstheme="minorHAnsi"/>
          <w:i/>
          <w:sz w:val="20"/>
        </w:rPr>
        <w:t>Acteurs de la revue (lien avec partie II)</w:t>
      </w:r>
    </w:p>
    <w:p w14:paraId="435027F1" w14:textId="77777777" w:rsidR="00973BDC" w:rsidRPr="005535DB" w:rsidRDefault="00973BDC" w:rsidP="00973BDC">
      <w:pPr>
        <w:pStyle w:val="Paragraphedeliste"/>
        <w:numPr>
          <w:ilvl w:val="0"/>
          <w:numId w:val="5"/>
        </w:numPr>
        <w:spacing w:line="240" w:lineRule="auto"/>
        <w:rPr>
          <w:rFonts w:asciiTheme="minorHAnsi" w:hAnsiTheme="minorHAnsi" w:cstheme="minorHAnsi"/>
          <w:i/>
          <w:sz w:val="20"/>
        </w:rPr>
      </w:pPr>
      <w:r w:rsidRPr="005535DB">
        <w:rPr>
          <w:rFonts w:asciiTheme="minorHAnsi" w:hAnsiTheme="minorHAnsi" w:cstheme="minorHAnsi"/>
          <w:i/>
          <w:sz w:val="20"/>
        </w:rPr>
        <w:t>Fréquence de la revue</w:t>
      </w:r>
    </w:p>
    <w:p w14:paraId="75193199" w14:textId="77777777" w:rsidR="00973BDC" w:rsidRPr="005535DB" w:rsidRDefault="00973BDC" w:rsidP="00973BDC">
      <w:pPr>
        <w:pStyle w:val="Paragraphedeliste"/>
        <w:numPr>
          <w:ilvl w:val="1"/>
          <w:numId w:val="5"/>
        </w:numPr>
        <w:spacing w:line="240" w:lineRule="auto"/>
        <w:rPr>
          <w:rFonts w:asciiTheme="minorHAnsi" w:hAnsiTheme="minorHAnsi" w:cstheme="minorHAnsi"/>
          <w:i/>
          <w:sz w:val="20"/>
        </w:rPr>
      </w:pPr>
      <w:r w:rsidRPr="005535DB">
        <w:rPr>
          <w:rFonts w:asciiTheme="minorHAnsi" w:hAnsiTheme="minorHAnsi" w:cstheme="minorHAnsi"/>
          <w:i/>
          <w:sz w:val="20"/>
        </w:rPr>
        <w:t xml:space="preserve">Description des éléments permettant de déclencher une revue (lien avec partie III) </w:t>
      </w:r>
    </w:p>
    <w:p w14:paraId="6290ADBF" w14:textId="77777777" w:rsidR="00973BDC" w:rsidRPr="005535DB" w:rsidRDefault="00973BDC" w:rsidP="00973BDC">
      <w:pPr>
        <w:pStyle w:val="Paragraphedeliste"/>
        <w:numPr>
          <w:ilvl w:val="0"/>
          <w:numId w:val="5"/>
        </w:numPr>
        <w:spacing w:line="240" w:lineRule="auto"/>
        <w:rPr>
          <w:rFonts w:asciiTheme="minorHAnsi" w:hAnsiTheme="minorHAnsi" w:cstheme="minorHAnsi"/>
          <w:i/>
          <w:sz w:val="20"/>
        </w:rPr>
      </w:pPr>
      <w:r w:rsidRPr="005535DB">
        <w:rPr>
          <w:rFonts w:asciiTheme="minorHAnsi" w:hAnsiTheme="minorHAnsi" w:cstheme="minorHAnsi"/>
          <w:i/>
          <w:sz w:val="20"/>
        </w:rPr>
        <w:t xml:space="preserve">Nature de la revue (travaux effectués, tests) </w:t>
      </w:r>
    </w:p>
    <w:p w14:paraId="63665944" w14:textId="77777777" w:rsidR="00973BDC" w:rsidRPr="005535DB" w:rsidRDefault="00973BDC" w:rsidP="00973BDC">
      <w:pPr>
        <w:pStyle w:val="Paragraphedeliste"/>
        <w:numPr>
          <w:ilvl w:val="1"/>
          <w:numId w:val="5"/>
        </w:numPr>
        <w:spacing w:line="240" w:lineRule="auto"/>
        <w:rPr>
          <w:rFonts w:asciiTheme="minorHAnsi" w:hAnsiTheme="minorHAnsi" w:cstheme="minorHAnsi"/>
          <w:i/>
          <w:sz w:val="20"/>
        </w:rPr>
      </w:pPr>
      <w:r w:rsidRPr="005535DB">
        <w:rPr>
          <w:rFonts w:asciiTheme="minorHAnsi" w:hAnsiTheme="minorHAnsi" w:cstheme="minorHAnsi"/>
          <w:i/>
          <w:sz w:val="20"/>
        </w:rPr>
        <w:t xml:space="preserve">Par exemple, vérification de la pertinence des hypothèses sous-jacente, comparaison des évolutions d’analyse en interne par rapport au sentiment du marché. </w:t>
      </w:r>
    </w:p>
    <w:p w14:paraId="687B8095" w14:textId="77777777" w:rsidR="00973BDC" w:rsidRPr="00520BB1" w:rsidRDefault="00973BDC" w:rsidP="00973BDC">
      <w:pPr>
        <w:rPr>
          <w:rFonts w:asciiTheme="minorHAnsi" w:hAnsiTheme="minorHAnsi" w:cstheme="minorHAnsi"/>
          <w:i/>
          <w:sz w:val="20"/>
          <w:u w:val="single"/>
        </w:rPr>
      </w:pPr>
    </w:p>
    <w:p w14:paraId="6500D022" w14:textId="77777777" w:rsidR="00973BDC" w:rsidRPr="00520BB1" w:rsidRDefault="00973BDC" w:rsidP="00973BDC">
      <w:pPr>
        <w:rPr>
          <w:rFonts w:asciiTheme="minorHAnsi" w:hAnsiTheme="minorHAnsi" w:cstheme="minorHAnsi"/>
          <w:sz w:val="20"/>
          <w:u w:val="single"/>
        </w:rPr>
      </w:pPr>
      <w:r w:rsidRPr="00520BB1">
        <w:rPr>
          <w:rFonts w:asciiTheme="minorHAnsi" w:hAnsiTheme="minorHAnsi" w:cstheme="minorHAnsi"/>
          <w:sz w:val="20"/>
          <w:u w:val="single"/>
        </w:rPr>
        <w:t>Remarques complémentaires</w:t>
      </w:r>
    </w:p>
    <w:p w14:paraId="44B9B0B9" w14:textId="197A28F4" w:rsidR="00973BDC" w:rsidRPr="00520BB1" w:rsidRDefault="00973BDC" w:rsidP="00516039">
      <w:pPr>
        <w:spacing w:line="240" w:lineRule="auto"/>
        <w:rPr>
          <w:rFonts w:asciiTheme="minorHAnsi" w:hAnsiTheme="minorHAnsi" w:cstheme="minorHAnsi"/>
          <w:sz w:val="20"/>
        </w:rPr>
      </w:pPr>
      <w:r w:rsidRPr="00520BB1">
        <w:rPr>
          <w:rFonts w:asciiTheme="minorHAnsi" w:hAnsiTheme="minorHAnsi" w:cstheme="minorHAnsi"/>
          <w:sz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sectPr w:rsidR="00973BDC" w:rsidRPr="00520B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D1378" w14:textId="77777777" w:rsidR="008B5933" w:rsidRDefault="008B5933" w:rsidP="00931174">
      <w:pPr>
        <w:spacing w:line="240" w:lineRule="auto"/>
      </w:pPr>
      <w:r>
        <w:separator/>
      </w:r>
    </w:p>
  </w:endnote>
  <w:endnote w:type="continuationSeparator" w:id="0">
    <w:p w14:paraId="6C8BAB5C" w14:textId="77777777" w:rsidR="008B5933" w:rsidRDefault="008B5933" w:rsidP="00931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14273"/>
      <w:docPartObj>
        <w:docPartGallery w:val="Page Numbers (Bottom of Page)"/>
        <w:docPartUnique/>
      </w:docPartObj>
    </w:sdtPr>
    <w:sdtEndPr/>
    <w:sdtContent>
      <w:p w14:paraId="41192766" w14:textId="5655C856" w:rsidR="00E104A4" w:rsidRDefault="00E104A4">
        <w:pPr>
          <w:pStyle w:val="Pieddepage"/>
          <w:pBdr>
            <w:bottom w:val="single" w:sz="6" w:space="1" w:color="auto"/>
          </w:pBdr>
          <w:jc w:val="right"/>
        </w:pPr>
      </w:p>
      <w:p w14:paraId="5568244B" w14:textId="331E3509" w:rsidR="0041416F" w:rsidRDefault="0041416F">
        <w:pPr>
          <w:pStyle w:val="Pieddepage"/>
          <w:jc w:val="right"/>
        </w:pPr>
        <w:r>
          <w:fldChar w:fldCharType="begin"/>
        </w:r>
        <w:r>
          <w:instrText>PAGE   \* MERGEFORMAT</w:instrText>
        </w:r>
        <w:r>
          <w:fldChar w:fldCharType="separate"/>
        </w:r>
        <w:r w:rsidR="005535DB">
          <w:rPr>
            <w:noProof/>
          </w:rPr>
          <w:t>7</w:t>
        </w:r>
        <w:r>
          <w:fldChar w:fldCharType="end"/>
        </w:r>
        <w:r>
          <w:t>/</w:t>
        </w:r>
        <w:r w:rsidR="00520BB1">
          <w:t>7</w:t>
        </w:r>
      </w:p>
    </w:sdtContent>
  </w:sdt>
  <w:p w14:paraId="17453581" w14:textId="77777777" w:rsidR="003C0AC1" w:rsidRDefault="003C0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D495" w14:textId="77777777" w:rsidR="008B5933" w:rsidRDefault="008B5933" w:rsidP="00931174">
      <w:pPr>
        <w:spacing w:line="240" w:lineRule="auto"/>
      </w:pPr>
      <w:r>
        <w:separator/>
      </w:r>
    </w:p>
  </w:footnote>
  <w:footnote w:type="continuationSeparator" w:id="0">
    <w:p w14:paraId="53884B68" w14:textId="77777777" w:rsidR="008B5933" w:rsidRDefault="008B5933" w:rsidP="00931174">
      <w:pPr>
        <w:spacing w:line="240" w:lineRule="auto"/>
      </w:pPr>
      <w:r>
        <w:continuationSeparator/>
      </w:r>
    </w:p>
  </w:footnote>
  <w:footnote w:id="1">
    <w:p w14:paraId="29C1CF37" w14:textId="77777777" w:rsidR="003F4715" w:rsidRPr="00520BB1" w:rsidRDefault="003F4715">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Les SLP fonds monétaires font l’objet d’un agrément au titre du règlement (UE) 2017/1131 (Règlement MMF).</w:t>
      </w:r>
    </w:p>
  </w:footnote>
  <w:footnote w:id="2">
    <w:p w14:paraId="0B3745F4" w14:textId="77777777" w:rsidR="00931174" w:rsidRPr="00520BB1" w:rsidRDefault="00931174" w:rsidP="00931174">
      <w:pPr>
        <w:pStyle w:val="Notedebasdepage"/>
        <w:spacing w:line="240" w:lineRule="auto"/>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Pour les sociétés de gestion de portefeuille soumises pour la gestion de FIA au titre Ier</w:t>
      </w:r>
      <w:r w:rsidR="00B559E1" w:rsidRPr="00520BB1">
        <w:rPr>
          <w:rFonts w:asciiTheme="minorHAnsi" w:hAnsiTheme="minorHAnsi" w:cstheme="minorHAnsi"/>
          <w:i/>
        </w:rPr>
        <w:t xml:space="preserve"> ter</w:t>
      </w:r>
      <w:r w:rsidRPr="00520BB1">
        <w:rPr>
          <w:rFonts w:asciiTheme="minorHAnsi" w:hAnsiTheme="minorHAnsi" w:cstheme="minorHAnsi"/>
          <w:i/>
        </w:rPr>
        <w:t xml:space="preserve"> du règlement général de l’AMF.</w:t>
      </w:r>
    </w:p>
  </w:footnote>
  <w:footnote w:id="3">
    <w:p w14:paraId="6283545E" w14:textId="56E1D127" w:rsidR="00931174" w:rsidRPr="00520BB1" w:rsidRDefault="00931174" w:rsidP="00931174">
      <w:pPr>
        <w:pStyle w:val="Notedebasdepage"/>
        <w:spacing w:line="240" w:lineRule="auto"/>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Pour les sociétés de gestion de portefeuille soumises pour la gestion de FIA au titre Ier bis du règlement général de l’AMF (agrément au titre de la directive AIFM), ou disposition équivalente pour les sociétés de gestion agréées conformément à la directive 2011/61/UE dans un autre Etat membre que la France.</w:t>
      </w:r>
    </w:p>
  </w:footnote>
  <w:footnote w:id="4">
    <w:p w14:paraId="25639E4D" w14:textId="77777777" w:rsidR="00973BDC" w:rsidRPr="00520BB1" w:rsidRDefault="00973BDC" w:rsidP="00973BDC">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Cf. art. 16 paragraphe 4, c) du Règlement MMF</w:t>
      </w:r>
    </w:p>
  </w:footnote>
  <w:footnote w:id="5">
    <w:p w14:paraId="79BCBAD3" w14:textId="77777777" w:rsidR="00973BDC" w:rsidRPr="00520BB1" w:rsidRDefault="00973BDC" w:rsidP="00973BDC">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Cf. art. 26 du Règlement MMF</w:t>
      </w:r>
    </w:p>
  </w:footnote>
  <w:footnote w:id="6">
    <w:p w14:paraId="58581C19" w14:textId="77777777" w:rsidR="00973BDC" w:rsidRPr="00520BB1" w:rsidRDefault="00973BDC" w:rsidP="00973BDC">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Cf. art. 33, paragraphe 2, dernier alinéa du Règlement MMF</w:t>
      </w:r>
    </w:p>
  </w:footnote>
  <w:footnote w:id="7">
    <w:p w14:paraId="473AD734" w14:textId="77777777" w:rsidR="00973BDC" w:rsidRPr="00520BB1" w:rsidRDefault="00973BDC" w:rsidP="00973BDC">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Cf. art. 34, paragraphe 1 du Règlement MMF</w:t>
      </w:r>
    </w:p>
  </w:footnote>
  <w:footnote w:id="8">
    <w:p w14:paraId="375EC3DA" w14:textId="77777777" w:rsidR="00973BDC" w:rsidRPr="00520BB1" w:rsidRDefault="00973BDC" w:rsidP="00973BDC">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Cf. art. 36, paragraphe 5 et dernier alinéa du Règlement MMF</w:t>
      </w:r>
    </w:p>
  </w:footnote>
  <w:footnote w:id="9">
    <w:p w14:paraId="498C537E" w14:textId="77777777" w:rsidR="00973BDC" w:rsidRPr="00520BB1" w:rsidRDefault="00973BDC" w:rsidP="00973BDC">
      <w:pPr>
        <w:pStyle w:val="Notedebasdepage"/>
        <w:rPr>
          <w:rFonts w:asciiTheme="minorHAnsi" w:hAnsiTheme="minorHAnsi" w:cstheme="minorHAnsi"/>
          <w:i/>
          <w:u w:val="single"/>
        </w:rPr>
      </w:pPr>
      <w:r w:rsidRPr="00520BB1">
        <w:rPr>
          <w:rStyle w:val="Appelnotedebasdep"/>
          <w:rFonts w:asciiTheme="minorHAnsi" w:hAnsiTheme="minorHAnsi" w:cstheme="minorHAnsi"/>
          <w:i/>
          <w:u w:val="single"/>
        </w:rPr>
        <w:footnoteRef/>
      </w:r>
      <w:r w:rsidRPr="00520BB1">
        <w:rPr>
          <w:rFonts w:asciiTheme="minorHAnsi" w:hAnsiTheme="minorHAnsi" w:cstheme="minorHAnsi"/>
          <w:i/>
          <w:u w:val="single"/>
        </w:rPr>
        <w:t xml:space="preserve"> Cf. art. 36, paragraphe 5 et dernier alinéa du Règlement MMF</w:t>
      </w:r>
    </w:p>
  </w:footnote>
  <w:footnote w:id="10">
    <w:p w14:paraId="276BE5B0" w14:textId="77777777" w:rsidR="00973BDC" w:rsidRPr="00520BB1" w:rsidRDefault="00973BDC" w:rsidP="00973BDC">
      <w:pPr>
        <w:pStyle w:val="Notedebasdepage"/>
        <w:rPr>
          <w:rFonts w:asciiTheme="minorHAnsi" w:hAnsiTheme="minorHAnsi" w:cstheme="minorHAnsi"/>
          <w:i/>
        </w:rPr>
      </w:pPr>
      <w:r w:rsidRPr="00520BB1">
        <w:rPr>
          <w:rStyle w:val="Appelnotedebasdep"/>
          <w:rFonts w:asciiTheme="minorHAnsi" w:hAnsiTheme="minorHAnsi" w:cstheme="minorHAnsi"/>
          <w:i/>
        </w:rPr>
        <w:footnoteRef/>
      </w:r>
      <w:r w:rsidRPr="00520BB1">
        <w:rPr>
          <w:rFonts w:asciiTheme="minorHAnsi" w:hAnsiTheme="minorHAnsi" w:cstheme="minorHAnsi"/>
          <w:i/>
        </w:rPr>
        <w:t xml:space="preserve"> </w:t>
      </w:r>
      <w:r w:rsidRPr="00520BB1">
        <w:rPr>
          <w:rFonts w:asciiTheme="minorHAnsi" w:hAnsiTheme="minorHAnsi" w:cstheme="minorHAnsi"/>
          <w:i/>
          <w:szCs w:val="18"/>
        </w:rPr>
        <w:t>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C6CA" w14:textId="0E2BC7EA" w:rsidR="00520BB1" w:rsidRDefault="00520BB1" w:rsidP="00520BB1">
    <w:pPr>
      <w:pStyle w:val="En-tte"/>
    </w:pPr>
    <w:r w:rsidRPr="00E1138C">
      <w:rPr>
        <w:noProof/>
      </w:rPr>
      <w:drawing>
        <wp:anchor distT="0" distB="0" distL="114300" distR="114300" simplePos="0" relativeHeight="251659264" behindDoc="1" locked="0" layoutInCell="1" allowOverlap="1" wp14:anchorId="16FF3EB6" wp14:editId="59157B9F">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3258E2BD" w14:textId="530B9515" w:rsidR="00520BB1" w:rsidRPr="00922AD8" w:rsidRDefault="00520BB1" w:rsidP="00520BB1">
    <w:pPr>
      <w:pStyle w:val="En-tte"/>
      <w:rPr>
        <w:rFonts w:asciiTheme="minorHAnsi" w:hAnsiTheme="minorHAnsi" w:cstheme="minorHAnsi"/>
        <w:szCs w:val="18"/>
      </w:rPr>
    </w:pPr>
    <w:r>
      <w:rPr>
        <w:rFonts w:asciiTheme="minorHAnsi" w:hAnsiTheme="minorHAnsi" w:cstheme="minorHAnsi"/>
        <w:szCs w:val="18"/>
      </w:rPr>
      <w:t>Contenu des statuts de la société de libre partenariat – Annexe III.4 de l’instruction AMF – DOC-2012-06.</w:t>
    </w:r>
  </w:p>
  <w:p w14:paraId="519A34CA" w14:textId="7EE0B925" w:rsidR="00520BB1" w:rsidRDefault="00520BB1">
    <w:pPr>
      <w:pStyle w:val="En-tte"/>
    </w:pPr>
  </w:p>
  <w:p w14:paraId="73A3D67B" w14:textId="77777777" w:rsidR="00520BB1" w:rsidRDefault="00520B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061"/>
    <w:multiLevelType w:val="hybridMultilevel"/>
    <w:tmpl w:val="7C72A654"/>
    <w:lvl w:ilvl="0" w:tplc="FE72FCB8">
      <w:numFmt w:val="bullet"/>
      <w:lvlText w:val="-"/>
      <w:lvlJc w:val="left"/>
      <w:pPr>
        <w:tabs>
          <w:tab w:val="num" w:pos="720"/>
        </w:tabs>
        <w:ind w:left="720" w:hanging="360"/>
      </w:pPr>
      <w:rPr>
        <w:rFonts w:ascii="Arial" w:eastAsia="Times"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F55"/>
    <w:multiLevelType w:val="hybridMultilevel"/>
    <w:tmpl w:val="8168E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F2189"/>
    <w:multiLevelType w:val="hybridMultilevel"/>
    <w:tmpl w:val="71FE9D14"/>
    <w:lvl w:ilvl="0" w:tplc="EAB606DC">
      <w:start w:val="30"/>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C25E2"/>
    <w:multiLevelType w:val="hybridMultilevel"/>
    <w:tmpl w:val="4B58E30C"/>
    <w:lvl w:ilvl="0" w:tplc="45A08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04"/>
    <w:rsid w:val="00012F0C"/>
    <w:rsid w:val="000410F4"/>
    <w:rsid w:val="000468C3"/>
    <w:rsid w:val="000746EB"/>
    <w:rsid w:val="0010126D"/>
    <w:rsid w:val="00127FCC"/>
    <w:rsid w:val="00142A35"/>
    <w:rsid w:val="001B6C43"/>
    <w:rsid w:val="001E4767"/>
    <w:rsid w:val="0022315F"/>
    <w:rsid w:val="0025421E"/>
    <w:rsid w:val="0026546B"/>
    <w:rsid w:val="002C24EB"/>
    <w:rsid w:val="002D4201"/>
    <w:rsid w:val="00301BF2"/>
    <w:rsid w:val="0030374E"/>
    <w:rsid w:val="00314135"/>
    <w:rsid w:val="00317096"/>
    <w:rsid w:val="003401AB"/>
    <w:rsid w:val="0035641A"/>
    <w:rsid w:val="003567E7"/>
    <w:rsid w:val="00370867"/>
    <w:rsid w:val="003741D3"/>
    <w:rsid w:val="00380327"/>
    <w:rsid w:val="003C0AC1"/>
    <w:rsid w:val="003C7304"/>
    <w:rsid w:val="003D74AA"/>
    <w:rsid w:val="003F4715"/>
    <w:rsid w:val="00411B09"/>
    <w:rsid w:val="0041416F"/>
    <w:rsid w:val="00461840"/>
    <w:rsid w:val="004648E6"/>
    <w:rsid w:val="00471086"/>
    <w:rsid w:val="004B7357"/>
    <w:rsid w:val="004E32CD"/>
    <w:rsid w:val="00500F5F"/>
    <w:rsid w:val="00516039"/>
    <w:rsid w:val="00520BB1"/>
    <w:rsid w:val="00543803"/>
    <w:rsid w:val="005535DB"/>
    <w:rsid w:val="0057389B"/>
    <w:rsid w:val="00583884"/>
    <w:rsid w:val="005B149A"/>
    <w:rsid w:val="005D2E4E"/>
    <w:rsid w:val="005E431A"/>
    <w:rsid w:val="006029A7"/>
    <w:rsid w:val="00603B1F"/>
    <w:rsid w:val="006211EB"/>
    <w:rsid w:val="00651466"/>
    <w:rsid w:val="006622AC"/>
    <w:rsid w:val="006661EF"/>
    <w:rsid w:val="00666DB5"/>
    <w:rsid w:val="0069393F"/>
    <w:rsid w:val="006F169C"/>
    <w:rsid w:val="0075004A"/>
    <w:rsid w:val="0078099C"/>
    <w:rsid w:val="0079484F"/>
    <w:rsid w:val="007E5EA0"/>
    <w:rsid w:val="007F7C94"/>
    <w:rsid w:val="00802C15"/>
    <w:rsid w:val="008146C1"/>
    <w:rsid w:val="008213F6"/>
    <w:rsid w:val="00831FF0"/>
    <w:rsid w:val="00847CB6"/>
    <w:rsid w:val="0086773D"/>
    <w:rsid w:val="008A3C42"/>
    <w:rsid w:val="008B230B"/>
    <w:rsid w:val="008B5933"/>
    <w:rsid w:val="00931174"/>
    <w:rsid w:val="009470AB"/>
    <w:rsid w:val="00947E89"/>
    <w:rsid w:val="00973BDC"/>
    <w:rsid w:val="009969C8"/>
    <w:rsid w:val="009C7285"/>
    <w:rsid w:val="009D483D"/>
    <w:rsid w:val="009E11E3"/>
    <w:rsid w:val="00A03108"/>
    <w:rsid w:val="00A20B88"/>
    <w:rsid w:val="00A51757"/>
    <w:rsid w:val="00A5690D"/>
    <w:rsid w:val="00A62FD0"/>
    <w:rsid w:val="00A82326"/>
    <w:rsid w:val="00AA673F"/>
    <w:rsid w:val="00B222E8"/>
    <w:rsid w:val="00B33661"/>
    <w:rsid w:val="00B350D7"/>
    <w:rsid w:val="00B546B9"/>
    <w:rsid w:val="00B559E1"/>
    <w:rsid w:val="00B607B2"/>
    <w:rsid w:val="00B70481"/>
    <w:rsid w:val="00B7462E"/>
    <w:rsid w:val="00BA1AA2"/>
    <w:rsid w:val="00BA1FB6"/>
    <w:rsid w:val="00BC2037"/>
    <w:rsid w:val="00C11A43"/>
    <w:rsid w:val="00C12A6D"/>
    <w:rsid w:val="00C14631"/>
    <w:rsid w:val="00C158AA"/>
    <w:rsid w:val="00C2019F"/>
    <w:rsid w:val="00C217DA"/>
    <w:rsid w:val="00C35D3F"/>
    <w:rsid w:val="00C404A1"/>
    <w:rsid w:val="00C9131F"/>
    <w:rsid w:val="00C93DA5"/>
    <w:rsid w:val="00CA253C"/>
    <w:rsid w:val="00CB0D0C"/>
    <w:rsid w:val="00CB19AE"/>
    <w:rsid w:val="00D9701A"/>
    <w:rsid w:val="00DA44CE"/>
    <w:rsid w:val="00DD30DD"/>
    <w:rsid w:val="00DE095D"/>
    <w:rsid w:val="00DF3803"/>
    <w:rsid w:val="00E05180"/>
    <w:rsid w:val="00E104A4"/>
    <w:rsid w:val="00E33345"/>
    <w:rsid w:val="00ED1BFD"/>
    <w:rsid w:val="00F02E86"/>
    <w:rsid w:val="00F15AD3"/>
    <w:rsid w:val="00F23398"/>
    <w:rsid w:val="00F369E9"/>
    <w:rsid w:val="00F65142"/>
    <w:rsid w:val="00FB66C3"/>
    <w:rsid w:val="00FB69C4"/>
    <w:rsid w:val="00FC3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C9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74"/>
    <w:pPr>
      <w:spacing w:after="0" w:line="240" w:lineRule="atLeast"/>
      <w:jc w:val="both"/>
    </w:pPr>
    <w:rPr>
      <w:rFonts w:ascii="Arial" w:eastAsia="Times"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31174"/>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31174"/>
    <w:rPr>
      <w:rFonts w:ascii="Arial" w:eastAsia="Times" w:hAnsi="Arial" w:cs="Times New Roman"/>
      <w:sz w:val="16"/>
      <w:szCs w:val="20"/>
      <w:lang w:eastAsia="fr-FR"/>
    </w:rPr>
  </w:style>
  <w:style w:type="character" w:styleId="Appelnotedebasdep">
    <w:name w:val="footnote reference"/>
    <w:aliases w:val="fr,Footnote Reference Number,Footnote Reference_LVL6,Footnote Reference_LVL61,Footnote Reference_LVL62,Footnote Reference_LVL63,Footnote Reference_LVL64,Fußnotenzeichen,Címsor 5 Char1,C26 Footnote Number,Footnote Reference_LVL65"/>
    <w:uiPriority w:val="99"/>
    <w:qFormat/>
    <w:rsid w:val="00931174"/>
    <w:rPr>
      <w:rFonts w:ascii="Arial" w:hAnsi="Arial"/>
      <w:sz w:val="16"/>
      <w:vertAlign w:val="superscript"/>
    </w:rPr>
  </w:style>
  <w:style w:type="paragraph" w:customStyle="1" w:styleId="CelluleIntitul">
    <w:name w:val="Cellule Intitulé"/>
    <w:rsid w:val="00931174"/>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eastAsia="fr-FR"/>
    </w:rPr>
  </w:style>
  <w:style w:type="paragraph" w:customStyle="1" w:styleId="CelluleCourant">
    <w:name w:val="CelluleCourant"/>
    <w:rsid w:val="00931174"/>
    <w:pPr>
      <w:widowControl w:val="0"/>
      <w:autoSpaceDE w:val="0"/>
      <w:autoSpaceDN w:val="0"/>
      <w:adjustRightInd w:val="0"/>
      <w:spacing w:after="0" w:line="280" w:lineRule="atLeast"/>
    </w:pPr>
    <w:rPr>
      <w:rFonts w:ascii="Times New Roman" w:eastAsia="Times New Roman" w:hAnsi="Times New Roman" w:cs="Times New Roman"/>
      <w:color w:val="000000"/>
      <w:w w:val="0"/>
      <w:sz w:val="24"/>
      <w:szCs w:val="24"/>
      <w:lang w:eastAsia="fr-FR"/>
    </w:rPr>
  </w:style>
  <w:style w:type="paragraph" w:styleId="Textedebulles">
    <w:name w:val="Balloon Text"/>
    <w:basedOn w:val="Normal"/>
    <w:link w:val="TextedebullesCar"/>
    <w:uiPriority w:val="99"/>
    <w:semiHidden/>
    <w:unhideWhenUsed/>
    <w:rsid w:val="009969C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9C8"/>
    <w:rPr>
      <w:rFonts w:ascii="Tahoma" w:eastAsia="Times" w:hAnsi="Tahoma" w:cs="Tahoma"/>
      <w:sz w:val="16"/>
      <w:szCs w:val="16"/>
      <w:lang w:eastAsia="fr-FR"/>
    </w:rPr>
  </w:style>
  <w:style w:type="character" w:styleId="Marquedecommentaire">
    <w:name w:val="annotation reference"/>
    <w:basedOn w:val="Policepardfaut"/>
    <w:uiPriority w:val="99"/>
    <w:unhideWhenUsed/>
    <w:rsid w:val="00E33345"/>
    <w:rPr>
      <w:sz w:val="16"/>
      <w:szCs w:val="16"/>
    </w:rPr>
  </w:style>
  <w:style w:type="paragraph" w:styleId="Commentaire">
    <w:name w:val="annotation text"/>
    <w:basedOn w:val="Normal"/>
    <w:link w:val="CommentaireCar"/>
    <w:unhideWhenUsed/>
    <w:rsid w:val="00E33345"/>
    <w:pPr>
      <w:spacing w:line="240" w:lineRule="auto"/>
    </w:pPr>
    <w:rPr>
      <w:sz w:val="20"/>
    </w:rPr>
  </w:style>
  <w:style w:type="character" w:customStyle="1" w:styleId="CommentaireCar">
    <w:name w:val="Commentaire Car"/>
    <w:basedOn w:val="Policepardfaut"/>
    <w:link w:val="Commentaire"/>
    <w:rsid w:val="00E33345"/>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33345"/>
    <w:rPr>
      <w:b/>
      <w:bCs/>
    </w:rPr>
  </w:style>
  <w:style w:type="character" w:customStyle="1" w:styleId="ObjetducommentaireCar">
    <w:name w:val="Objet du commentaire Car"/>
    <w:basedOn w:val="CommentaireCar"/>
    <w:link w:val="Objetducommentaire"/>
    <w:uiPriority w:val="99"/>
    <w:semiHidden/>
    <w:rsid w:val="00E33345"/>
    <w:rPr>
      <w:rFonts w:ascii="Arial" w:eastAsia="Times" w:hAnsi="Arial" w:cs="Times New Roman"/>
      <w:b/>
      <w:bCs/>
      <w:sz w:val="20"/>
      <w:szCs w:val="20"/>
      <w:lang w:eastAsia="fr-FR"/>
    </w:rPr>
  </w:style>
  <w:style w:type="paragraph" w:styleId="En-tte">
    <w:name w:val="header"/>
    <w:basedOn w:val="Normal"/>
    <w:link w:val="En-tteCar"/>
    <w:unhideWhenUsed/>
    <w:rsid w:val="003C0AC1"/>
    <w:pPr>
      <w:tabs>
        <w:tab w:val="center" w:pos="4536"/>
        <w:tab w:val="right" w:pos="9072"/>
      </w:tabs>
      <w:spacing w:line="240" w:lineRule="auto"/>
    </w:pPr>
  </w:style>
  <w:style w:type="character" w:customStyle="1" w:styleId="En-tteCar">
    <w:name w:val="En-tête Car"/>
    <w:basedOn w:val="Policepardfaut"/>
    <w:link w:val="En-tte"/>
    <w:uiPriority w:val="99"/>
    <w:rsid w:val="003C0AC1"/>
    <w:rPr>
      <w:rFonts w:ascii="Arial" w:eastAsia="Times" w:hAnsi="Arial" w:cs="Times New Roman"/>
      <w:sz w:val="18"/>
      <w:szCs w:val="20"/>
      <w:lang w:eastAsia="fr-FR"/>
    </w:rPr>
  </w:style>
  <w:style w:type="paragraph" w:styleId="Pieddepage">
    <w:name w:val="footer"/>
    <w:basedOn w:val="Normal"/>
    <w:link w:val="PieddepageCar"/>
    <w:uiPriority w:val="99"/>
    <w:unhideWhenUsed/>
    <w:rsid w:val="003C0AC1"/>
    <w:pPr>
      <w:tabs>
        <w:tab w:val="center" w:pos="4536"/>
        <w:tab w:val="right" w:pos="9072"/>
      </w:tabs>
      <w:spacing w:line="240" w:lineRule="auto"/>
    </w:pPr>
  </w:style>
  <w:style w:type="character" w:customStyle="1" w:styleId="PieddepageCar">
    <w:name w:val="Pied de page Car"/>
    <w:basedOn w:val="Policepardfaut"/>
    <w:link w:val="Pieddepage"/>
    <w:uiPriority w:val="99"/>
    <w:rsid w:val="003C0AC1"/>
    <w:rPr>
      <w:rFonts w:ascii="Arial" w:eastAsia="Times" w:hAnsi="Arial" w:cs="Times New Roman"/>
      <w:sz w:val="18"/>
      <w:szCs w:val="20"/>
      <w:lang w:eastAsia="fr-FR"/>
    </w:rPr>
  </w:style>
  <w:style w:type="paragraph" w:customStyle="1" w:styleId="Default">
    <w:name w:val="Default"/>
    <w:rsid w:val="0054380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543803"/>
    <w:pPr>
      <w:ind w:left="720"/>
      <w:contextualSpacing/>
    </w:pPr>
  </w:style>
  <w:style w:type="character" w:styleId="Lienhypertexte">
    <w:name w:val="Hyperlink"/>
    <w:uiPriority w:val="99"/>
    <w:rsid w:val="003F4715"/>
    <w:rPr>
      <w:color w:val="0000FF"/>
      <w:u w:val="single"/>
    </w:rPr>
  </w:style>
  <w:style w:type="character" w:styleId="lev">
    <w:name w:val="Strong"/>
    <w:basedOn w:val="Policepardfaut"/>
    <w:uiPriority w:val="22"/>
    <w:qFormat/>
    <w:rsid w:val="003F4715"/>
    <w:rPr>
      <w:b/>
      <w:bCs/>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3F4715"/>
    <w:rPr>
      <w:rFonts w:ascii="Arial" w:eastAsia="Times" w:hAnsi="Arial" w:cs="Times New Roman"/>
      <w:sz w:val="18"/>
      <w:szCs w:val="20"/>
      <w:lang w:eastAsia="fr-FR"/>
    </w:rPr>
  </w:style>
  <w:style w:type="paragraph" w:customStyle="1" w:styleId="AMFTitre">
    <w:name w:val="AMF Titre"/>
    <w:basedOn w:val="Normal"/>
    <w:qFormat/>
    <w:rsid w:val="00520BB1"/>
    <w:pPr>
      <w:spacing w:line="240" w:lineRule="auto"/>
      <w:ind w:left="284" w:right="3384"/>
      <w:jc w:val="left"/>
    </w:pPr>
    <w:rPr>
      <w:rFonts w:asciiTheme="majorHAnsi" w:eastAsiaTheme="minorEastAsia" w:hAnsiTheme="majorHAnsi" w:cstheme="minorBidi"/>
      <w:b/>
      <w:bCs/>
      <w:caps/>
      <w:sz w:val="30"/>
      <w:szCs w:val="30"/>
    </w:rPr>
  </w:style>
  <w:style w:type="paragraph" w:customStyle="1" w:styleId="AMFSur-titre">
    <w:name w:val="AMF Sur-titre"/>
    <w:basedOn w:val="Normal"/>
    <w:qFormat/>
    <w:rsid w:val="00520BB1"/>
    <w:pPr>
      <w:spacing w:line="240" w:lineRule="auto"/>
      <w:ind w:left="284"/>
      <w:jc w:val="left"/>
    </w:pPr>
    <w:rPr>
      <w:rFonts w:asciiTheme="majorHAnsi" w:eastAsiaTheme="minorEastAsia" w:hAnsiTheme="majorHAnsi" w:cstheme="minorBidi"/>
      <w:b/>
      <w:bCs/>
      <w:caps/>
      <w:sz w:val="20"/>
    </w:rPr>
  </w:style>
  <w:style w:type="paragraph" w:customStyle="1" w:styleId="AMFIntertitreframboise">
    <w:name w:val="AMF Intertitre framboise"/>
    <w:basedOn w:val="Paragraphedeliste"/>
    <w:qFormat/>
    <w:rsid w:val="00E104A4"/>
    <w:pPr>
      <w:numPr>
        <w:numId w:val="8"/>
      </w:numPr>
      <w:spacing w:before="240" w:after="240" w:line="240" w:lineRule="auto"/>
      <w:jc w:val="left"/>
    </w:pPr>
    <w:rPr>
      <w:rFonts w:ascii="Calibri" w:eastAsia="Times New Roman" w:hAnsi="Calibri" w:cs="Calibri"/>
      <w:b/>
      <w:color w:val="942B6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DE7D-E18B-4F79-AAE0-B7DBC5CB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16121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2020-01-24T10:31:00Z</dcterms:created>
  <dcterms:modified xsi:type="dcterms:W3CDTF">2020-02-18T12:39:00Z</dcterms:modified>
</cp:coreProperties>
</file>