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B9E15"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212A09" w:rsidRDefault="00E1204F" w:rsidP="00061209">
      <w:pPr>
        <w:pStyle w:val="AMFTitre"/>
        <w:ind w:left="0"/>
        <w:rPr>
          <w:sz w:val="24"/>
          <w:szCs w:val="24"/>
        </w:rPr>
      </w:pPr>
      <w:r w:rsidRPr="00212A09">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669BF7"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bookmarkStart w:id="0" w:name="_Toc348959785"/>
      <w:r w:rsidR="00D5219B" w:rsidRPr="00212A09">
        <w:rPr>
          <w:iCs/>
          <w:noProof/>
          <w:sz w:val="24"/>
          <w:szCs w:val="24"/>
        </w:rPr>
        <w:t>Plan type du document d’information clé pour l’investisseur (DICI)</w:t>
      </w:r>
      <w:bookmarkEnd w:id="0"/>
    </w:p>
    <w:p w:rsidR="0097706F" w:rsidRPr="003B2658" w:rsidRDefault="0097706F" w:rsidP="0097706F"/>
    <w:p w:rsidR="0097706F" w:rsidRPr="003B2658" w:rsidRDefault="0097706F" w:rsidP="0097706F"/>
    <w:p w:rsidR="00E46668" w:rsidRDefault="00E46668" w:rsidP="00D5219B">
      <w:pPr>
        <w:pStyle w:val="AMFTEXTECOURANT"/>
        <w:ind w:left="0"/>
      </w:pPr>
    </w:p>
    <w:p w:rsidR="00D5219B" w:rsidRPr="00212A09" w:rsidRDefault="00D5219B" w:rsidP="000F1921">
      <w:pPr>
        <w:pStyle w:val="AMFChapeau"/>
        <w:ind w:left="0"/>
        <w:rPr>
          <w:sz w:val="20"/>
          <w:szCs w:val="20"/>
        </w:rPr>
      </w:pPr>
      <w:r w:rsidRPr="00212A09">
        <w:rPr>
          <w:sz w:val="20"/>
          <w:szCs w:val="20"/>
        </w:rPr>
        <w:t>C</w:t>
      </w:r>
      <w:r w:rsidR="00271488" w:rsidRPr="00212A09">
        <w:rPr>
          <w:sz w:val="20"/>
          <w:szCs w:val="20"/>
        </w:rPr>
        <w:t>e document constitue l’annexe VI</w:t>
      </w:r>
      <w:r w:rsidRPr="00212A09">
        <w:rPr>
          <w:sz w:val="20"/>
          <w:szCs w:val="20"/>
        </w:rPr>
        <w:t xml:space="preserve"> de l’instruction AMF - Procédures d’agrément, établissement d’un DICI et d’un </w:t>
      </w:r>
      <w:r w:rsidR="00271488" w:rsidRPr="00212A09">
        <w:rPr>
          <w:sz w:val="20"/>
          <w:szCs w:val="20"/>
        </w:rPr>
        <w:t>règlement</w:t>
      </w:r>
      <w:r w:rsidRPr="00212A09">
        <w:rPr>
          <w:sz w:val="20"/>
          <w:szCs w:val="20"/>
        </w:rPr>
        <w:t xml:space="preserve"> et </w:t>
      </w:r>
      <w:r w:rsidR="00271488" w:rsidRPr="00212A09">
        <w:rPr>
          <w:sz w:val="20"/>
          <w:szCs w:val="20"/>
        </w:rPr>
        <w:t>information périodique des fonds de capital investissement</w:t>
      </w:r>
      <w:r w:rsidRPr="00212A09">
        <w:rPr>
          <w:sz w:val="20"/>
          <w:szCs w:val="20"/>
        </w:rPr>
        <w:t>– DOC-2011-2</w:t>
      </w:r>
      <w:r w:rsidR="00271488" w:rsidRPr="00212A09">
        <w:rPr>
          <w:sz w:val="20"/>
          <w:szCs w:val="20"/>
        </w:rPr>
        <w:t>2</w:t>
      </w:r>
    </w:p>
    <w:p w:rsidR="00E501E4" w:rsidRDefault="00E501E4" w:rsidP="00D5219B">
      <w:pPr>
        <w:pStyle w:val="AMFTEXTECOURANT"/>
        <w:ind w:left="0"/>
      </w:pPr>
    </w:p>
    <w:p w:rsidR="00D5219B" w:rsidRDefault="00D5219B" w:rsidP="00D5219B">
      <w:pPr>
        <w:pStyle w:val="AMFTEXTECOURANT"/>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9"/>
      </w:tblGrid>
      <w:tr w:rsidR="00D5219B" w:rsidRPr="00D5219B" w:rsidTr="00F93FC8">
        <w:tc>
          <w:tcPr>
            <w:tcW w:w="5000" w:type="pct"/>
            <w:tcBorders>
              <w:top w:val="nil"/>
              <w:left w:val="nil"/>
              <w:bottom w:val="nil"/>
              <w:right w:val="nil"/>
            </w:tcBorders>
            <w:shd w:val="clear" w:color="auto" w:fill="auto"/>
          </w:tcPr>
          <w:p w:rsidR="00D5219B" w:rsidRPr="00D5219B" w:rsidRDefault="00D5219B" w:rsidP="00CC2A92">
            <w:pPr>
              <w:pStyle w:val="AMFIntertitre2"/>
              <w:pBdr>
                <w:top w:val="single" w:sz="4" w:space="1" w:color="auto"/>
                <w:left w:val="single" w:sz="4" w:space="1" w:color="auto"/>
                <w:bottom w:val="single" w:sz="4" w:space="1" w:color="auto"/>
                <w:right w:val="single" w:sz="4" w:space="1" w:color="auto"/>
              </w:pBdr>
              <w:ind w:left="0"/>
              <w:jc w:val="center"/>
              <w:rPr>
                <w:rFonts w:asciiTheme="minorHAnsi" w:hAnsiTheme="minorHAnsi" w:cstheme="minorHAnsi"/>
                <w:sz w:val="18"/>
                <w:szCs w:val="18"/>
              </w:rPr>
            </w:pPr>
            <w:r w:rsidRPr="00D5219B">
              <w:t>Informations clés pour l’investisseur</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iCs/>
                <w:sz w:val="18"/>
                <w:szCs w:val="18"/>
              </w:rPr>
              <w:t>« Ce document fournit des informations essentiell</w:t>
            </w:r>
            <w:r w:rsidR="00F212E6">
              <w:rPr>
                <w:rFonts w:asciiTheme="minorHAnsi" w:hAnsiTheme="minorHAnsi" w:cstheme="minorHAnsi"/>
                <w:iCs/>
                <w:sz w:val="18"/>
                <w:szCs w:val="18"/>
              </w:rPr>
              <w:t>es aux investisseurs de ce FCPR</w:t>
            </w:r>
            <w:r w:rsidRPr="00D5219B">
              <w:rPr>
                <w:rFonts w:asciiTheme="minorHAnsi" w:hAnsiTheme="minorHAnsi" w:cstheme="minorHAnsi"/>
                <w:iCs/>
                <w:sz w:val="18"/>
                <w:szCs w:val="18"/>
              </w:rPr>
              <w:t>. Il ne s’agit pas d’un document promotionnel. Les informations qu’il contient vous sont fournies conformément à une obligation légale, afin de vous aider à comprendre en quoi consiste un investissement dans ce fonds et quels risques y sont associés. Il vous est conseillé de le lire pour décider en connaiss</w:t>
            </w:r>
            <w:r w:rsidR="00212A09">
              <w:rPr>
                <w:rFonts w:asciiTheme="minorHAnsi" w:hAnsiTheme="minorHAnsi" w:cstheme="minorHAnsi"/>
                <w:iCs/>
                <w:sz w:val="18"/>
                <w:szCs w:val="18"/>
              </w:rPr>
              <w:t xml:space="preserve">ance de cause d’investir ou non </w:t>
            </w:r>
            <w:r w:rsidRPr="00D5219B">
              <w:rPr>
                <w:rFonts w:asciiTheme="minorHAnsi" w:hAnsiTheme="minorHAnsi" w:cstheme="minorHAnsi"/>
                <w:iCs/>
                <w:sz w:val="18"/>
                <w:szCs w:val="18"/>
              </w:rPr>
              <w:t>»</w:t>
            </w:r>
            <w:r w:rsidRPr="00D5219B">
              <w:rPr>
                <w:rFonts w:asciiTheme="minorHAnsi" w:hAnsiTheme="minorHAnsi" w:cstheme="minorHAnsi"/>
                <w:sz w:val="18"/>
                <w:szCs w:val="18"/>
              </w:rPr>
              <w:t xml:space="preserve">.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center"/>
              <w:textAlignment w:val="baseline"/>
              <w:rPr>
                <w:rFonts w:asciiTheme="minorHAnsi" w:hAnsiTheme="minorHAnsi" w:cstheme="minorHAnsi"/>
                <w:color w:val="000000"/>
                <w:sz w:val="18"/>
                <w:szCs w:val="18"/>
              </w:rPr>
            </w:pPr>
            <w:r w:rsidRPr="00D5219B">
              <w:rPr>
                <w:rFonts w:asciiTheme="minorHAnsi" w:hAnsiTheme="minorHAnsi" w:cstheme="minorHAnsi"/>
                <w:b/>
                <w:sz w:val="18"/>
                <w:szCs w:val="18"/>
              </w:rPr>
              <w:t xml:space="preserve">Dénomination </w:t>
            </w:r>
            <w:r w:rsidR="00356D22">
              <w:rPr>
                <w:rFonts w:asciiTheme="minorHAnsi" w:hAnsiTheme="minorHAnsi" w:cstheme="minorHAnsi"/>
                <w:b/>
                <w:sz w:val="18"/>
                <w:szCs w:val="18"/>
              </w:rPr>
              <w:t>du FCPR</w:t>
            </w:r>
            <w:r w:rsidRPr="00D5219B">
              <w:rPr>
                <w:rFonts w:asciiTheme="minorHAnsi" w:hAnsiTheme="minorHAnsi" w:cstheme="minorHAnsi"/>
                <w:b/>
                <w:sz w:val="18"/>
                <w:szCs w:val="18"/>
              </w:rPr>
              <w:t xml:space="preserve"> (</w:t>
            </w:r>
            <w:r w:rsidRPr="00D5219B">
              <w:rPr>
                <w:rFonts w:asciiTheme="minorHAnsi" w:hAnsiTheme="minorHAnsi" w:cstheme="minorHAnsi"/>
                <w:b/>
                <w:color w:val="000000"/>
                <w:sz w:val="18"/>
                <w:szCs w:val="18"/>
              </w:rPr>
              <w:t>Code ISIN)</w:t>
            </w:r>
          </w:p>
          <w:p w:rsidR="00D5219B" w:rsidRPr="00695A7C"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center"/>
              <w:textAlignment w:val="baseline"/>
              <w:rPr>
                <w:rFonts w:asciiTheme="minorHAnsi" w:hAnsiTheme="minorHAnsi" w:cstheme="minorHAnsi"/>
                <w:b/>
                <w:sz w:val="18"/>
                <w:szCs w:val="18"/>
              </w:rPr>
            </w:pPr>
            <w:r w:rsidRPr="00695A7C">
              <w:rPr>
                <w:rFonts w:asciiTheme="minorHAnsi" w:hAnsiTheme="minorHAnsi" w:cstheme="minorHAnsi"/>
                <w:b/>
                <w:sz w:val="18"/>
                <w:szCs w:val="18"/>
              </w:rPr>
              <w:t>(</w:t>
            </w:r>
            <w:r w:rsidR="00212A09" w:rsidRPr="00695A7C">
              <w:rPr>
                <w:rFonts w:asciiTheme="minorHAnsi" w:hAnsiTheme="minorHAnsi" w:cstheme="minorHAnsi"/>
                <w:b/>
                <w:sz w:val="18"/>
                <w:szCs w:val="18"/>
              </w:rPr>
              <w:t>E</w:t>
            </w:r>
            <w:r w:rsidRPr="00695A7C">
              <w:rPr>
                <w:rFonts w:asciiTheme="minorHAnsi" w:hAnsiTheme="minorHAnsi" w:cstheme="minorHAnsi"/>
                <w:b/>
                <w:sz w:val="18"/>
                <w:szCs w:val="18"/>
              </w:rPr>
              <w:t xml:space="preserve">t le cas échéant dénomination </w:t>
            </w:r>
            <w:r w:rsidR="00356D22" w:rsidRPr="00695A7C">
              <w:rPr>
                <w:rFonts w:asciiTheme="minorHAnsi" w:hAnsiTheme="minorHAnsi" w:cstheme="minorHAnsi"/>
                <w:b/>
                <w:sz w:val="18"/>
                <w:szCs w:val="18"/>
              </w:rPr>
              <w:t>du FCPR</w:t>
            </w:r>
            <w:r w:rsidRPr="00695A7C">
              <w:rPr>
                <w:rFonts w:asciiTheme="minorHAnsi" w:hAnsiTheme="minorHAnsi" w:cstheme="minorHAnsi"/>
                <w:b/>
                <w:sz w:val="18"/>
                <w:szCs w:val="18"/>
              </w:rPr>
              <w:t xml:space="preserve"> de tête et/ou de la catégorie de part ou d’action)</w:t>
            </w:r>
          </w:p>
          <w:p w:rsidR="00356D22" w:rsidRDefault="00356D22"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center"/>
              <w:textAlignment w:val="baseline"/>
              <w:rPr>
                <w:rFonts w:asciiTheme="minorHAnsi" w:hAnsiTheme="minorHAnsi" w:cstheme="minorHAnsi"/>
                <w:b/>
                <w:sz w:val="18"/>
                <w:szCs w:val="18"/>
              </w:rPr>
            </w:pPr>
            <w:r w:rsidRPr="00356D22">
              <w:rPr>
                <w:rFonts w:asciiTheme="minorHAnsi" w:hAnsiTheme="minorHAnsi" w:cstheme="minorHAnsi"/>
                <w:b/>
                <w:sz w:val="18"/>
                <w:szCs w:val="18"/>
              </w:rPr>
              <w:t>Fonds commun de placement à risques (FCPR)/Fonds commun de placement dans l’innovation (FCPI)/ Fonds d’investissement de proximité (FIP) soumis au droit français</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center"/>
              <w:textAlignment w:val="baseline"/>
              <w:rPr>
                <w:rFonts w:asciiTheme="minorHAnsi" w:hAnsiTheme="minorHAnsi" w:cstheme="minorHAnsi"/>
                <w:b/>
                <w:sz w:val="18"/>
                <w:szCs w:val="18"/>
              </w:rPr>
            </w:pPr>
            <w:r w:rsidRPr="00D5219B">
              <w:rPr>
                <w:rFonts w:asciiTheme="minorHAnsi" w:hAnsiTheme="minorHAnsi" w:cstheme="minorHAnsi"/>
                <w:b/>
                <w:sz w:val="18"/>
                <w:szCs w:val="18"/>
              </w:rPr>
              <w:t xml:space="preserve">Dénomination de la société de gestion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center"/>
              <w:textAlignment w:val="baseline"/>
              <w:rPr>
                <w:rFonts w:asciiTheme="minorHAnsi" w:hAnsiTheme="minorHAnsi" w:cstheme="minorHAnsi"/>
                <w:b/>
                <w:sz w:val="18"/>
                <w:szCs w:val="18"/>
              </w:rPr>
            </w:pPr>
            <w:r w:rsidRPr="00695A7C">
              <w:rPr>
                <w:rFonts w:asciiTheme="minorHAnsi" w:hAnsiTheme="minorHAnsi" w:cstheme="minorHAnsi"/>
                <w:b/>
                <w:sz w:val="18"/>
                <w:szCs w:val="18"/>
              </w:rPr>
              <w:t>(</w:t>
            </w:r>
            <w:r w:rsidR="00212A09" w:rsidRPr="00695A7C">
              <w:rPr>
                <w:rFonts w:asciiTheme="minorHAnsi" w:hAnsiTheme="minorHAnsi" w:cstheme="minorHAnsi"/>
                <w:b/>
                <w:sz w:val="18"/>
                <w:szCs w:val="18"/>
              </w:rPr>
              <w:t>E</w:t>
            </w:r>
            <w:r w:rsidRPr="00695A7C">
              <w:rPr>
                <w:rFonts w:asciiTheme="minorHAnsi" w:hAnsiTheme="minorHAnsi" w:cstheme="minorHAnsi"/>
                <w:b/>
                <w:sz w:val="18"/>
                <w:szCs w:val="18"/>
              </w:rPr>
              <w:t>t le cas échéant du groupe auquel elle appartient</w:t>
            </w:r>
            <w:r w:rsidRPr="00D5219B">
              <w:rPr>
                <w:rFonts w:asciiTheme="minorHAnsi" w:hAnsiTheme="minorHAnsi" w:cstheme="minorHAnsi"/>
                <w:b/>
                <w:sz w:val="18"/>
                <w:szCs w:val="18"/>
              </w:rPr>
              <w:t>)</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Arial" w:hAnsi="Arial" w:cs="Arial"/>
                <w:sz w:val="16"/>
                <w:szCs w:val="16"/>
              </w:rPr>
            </w:pP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b/>
                <w:bCs/>
                <w:iCs/>
                <w:sz w:val="18"/>
                <w:szCs w:val="18"/>
              </w:rPr>
              <w:t>Objectifs et politique d’investissement :</w:t>
            </w:r>
            <w:r w:rsidRPr="00D5219B">
              <w:rPr>
                <w:rFonts w:asciiTheme="minorHAnsi" w:hAnsiTheme="minorHAnsi" w:cstheme="minorHAnsi"/>
                <w:sz w:val="18"/>
                <w:szCs w:val="18"/>
              </w:rPr>
              <w:t xml:space="preserve">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u w:val="single"/>
              </w:rPr>
            </w:pPr>
            <w:r w:rsidRPr="00D5219B">
              <w:rPr>
                <w:rFonts w:asciiTheme="minorHAnsi" w:hAnsiTheme="minorHAnsi" w:cstheme="minorHAnsi"/>
                <w:sz w:val="18"/>
                <w:szCs w:val="18"/>
              </w:rPr>
              <w:t xml:space="preserve">- </w:t>
            </w:r>
            <w:r w:rsidRPr="00D5219B">
              <w:rPr>
                <w:rFonts w:asciiTheme="minorHAnsi" w:hAnsiTheme="minorHAnsi" w:cstheme="minorHAnsi"/>
                <w:sz w:val="18"/>
                <w:szCs w:val="18"/>
                <w:u w:val="single"/>
              </w:rPr>
              <w:t>Description des objectifs et de</w:t>
            </w:r>
            <w:r w:rsidR="00356D22">
              <w:rPr>
                <w:rFonts w:asciiTheme="minorHAnsi" w:hAnsiTheme="minorHAnsi" w:cstheme="minorHAnsi"/>
                <w:sz w:val="18"/>
                <w:szCs w:val="18"/>
                <w:u w:val="single"/>
              </w:rPr>
              <w:t xml:space="preserve"> la politique d’investissement du FCPR</w:t>
            </w:r>
            <w:r w:rsidRPr="00D5219B">
              <w:rPr>
                <w:rFonts w:asciiTheme="minorHAnsi" w:hAnsiTheme="minorHAnsi" w:cstheme="minorHAnsi"/>
                <w:sz w:val="18"/>
                <w:szCs w:val="18"/>
                <w:u w:val="single"/>
              </w:rPr>
              <w:t xml:space="preserve"> en langage intelligible, clair et simple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u w:val="single"/>
              </w:rPr>
            </w:pP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u w:val="single"/>
              </w:rPr>
            </w:pPr>
            <w:r w:rsidRPr="00D5219B">
              <w:rPr>
                <w:rFonts w:asciiTheme="minorHAnsi" w:hAnsiTheme="minorHAnsi" w:cstheme="minorHAnsi"/>
                <w:sz w:val="18"/>
                <w:szCs w:val="18"/>
              </w:rPr>
              <w:t xml:space="preserve"> -</w:t>
            </w:r>
            <w:r w:rsidRPr="00D5219B">
              <w:rPr>
                <w:rFonts w:asciiTheme="minorHAnsi" w:hAnsiTheme="minorHAnsi" w:cstheme="minorHAnsi"/>
                <w:sz w:val="18"/>
                <w:szCs w:val="18"/>
                <w:u w:val="single"/>
              </w:rPr>
              <w:t xml:space="preserve"> Caractéristiques essentielles d</w:t>
            </w:r>
            <w:r w:rsidR="00356D22">
              <w:rPr>
                <w:rFonts w:asciiTheme="minorHAnsi" w:hAnsiTheme="minorHAnsi" w:cstheme="minorHAnsi"/>
                <w:sz w:val="18"/>
                <w:szCs w:val="18"/>
                <w:u w:val="single"/>
              </w:rPr>
              <w:t>u FCPR</w:t>
            </w:r>
            <w:r w:rsidRPr="00D5219B">
              <w:rPr>
                <w:rFonts w:asciiTheme="minorHAnsi" w:hAnsiTheme="minorHAnsi" w:cstheme="minorHAnsi"/>
                <w:sz w:val="18"/>
                <w:szCs w:val="18"/>
                <w:u w:val="single"/>
              </w:rPr>
              <w:t xml:space="preserve"> qu’un investisseur devrait savoir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xml:space="preserve">* décrire les principales catégories d’actifs dans lesquelles </w:t>
            </w:r>
            <w:r w:rsidR="00356D22">
              <w:rPr>
                <w:rFonts w:asciiTheme="minorHAnsi" w:hAnsiTheme="minorHAnsi" w:cstheme="minorHAnsi"/>
                <w:sz w:val="18"/>
                <w:szCs w:val="18"/>
              </w:rPr>
              <w:t>le FCPR</w:t>
            </w:r>
            <w:r w:rsidRPr="00D5219B">
              <w:rPr>
                <w:rFonts w:asciiTheme="minorHAnsi" w:hAnsiTheme="minorHAnsi" w:cstheme="minorHAnsi"/>
                <w:sz w:val="18"/>
                <w:szCs w:val="18"/>
              </w:rPr>
              <w:t xml:space="preserve"> peut investir ;</w:t>
            </w:r>
          </w:p>
          <w:p w:rsidR="00D5219B" w:rsidRPr="00D5219B" w:rsidRDefault="00356D22"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Pr>
                <w:rFonts w:asciiTheme="minorHAnsi" w:hAnsiTheme="minorHAnsi" w:cstheme="minorHAnsi"/>
                <w:sz w:val="18"/>
                <w:szCs w:val="18"/>
              </w:rPr>
              <w:t>* indiquer si le FCPR</w:t>
            </w:r>
            <w:r w:rsidR="00D5219B" w:rsidRPr="00D5219B">
              <w:rPr>
                <w:rFonts w:asciiTheme="minorHAnsi" w:hAnsiTheme="minorHAnsi" w:cstheme="minorHAnsi"/>
                <w:sz w:val="18"/>
                <w:szCs w:val="18"/>
              </w:rPr>
              <w:t xml:space="preserve"> poursuit un objectif particulier par rapport à un secteur (</w:t>
            </w:r>
            <w:r>
              <w:rPr>
                <w:rFonts w:asciiTheme="minorHAnsi" w:hAnsiTheme="minorHAnsi" w:cstheme="minorHAnsi"/>
                <w:sz w:val="18"/>
                <w:szCs w:val="18"/>
              </w:rPr>
              <w:t xml:space="preserve">industriel, </w:t>
            </w:r>
            <w:r w:rsidR="00D5219B" w:rsidRPr="00D5219B">
              <w:rPr>
                <w:rFonts w:asciiTheme="minorHAnsi" w:hAnsiTheme="minorHAnsi" w:cstheme="minorHAnsi"/>
                <w:sz w:val="18"/>
                <w:szCs w:val="18"/>
              </w:rPr>
              <w:t xml:space="preserve">géographique, ou autre) ou par rapport à certaines catégories d’actifs </w:t>
            </w:r>
            <w:r>
              <w:rPr>
                <w:rFonts w:asciiTheme="minorHAnsi" w:hAnsiTheme="minorHAnsi" w:cstheme="minorHAnsi"/>
                <w:sz w:val="18"/>
                <w:szCs w:val="18"/>
              </w:rPr>
              <w:t>(par exemple caractère innovant pour les FCPI, caractère régional pour les FIP)</w:t>
            </w:r>
            <w:r w:rsidR="00D5219B" w:rsidRPr="00D5219B">
              <w:rPr>
                <w:rFonts w:asciiTheme="minorHAnsi" w:hAnsiTheme="minorHAnsi" w:cstheme="minorHAnsi"/>
                <w:sz w:val="18"/>
                <w:szCs w:val="18"/>
              </w:rPr>
              <w:t>;</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préciser si des stratégies discrétionnaires sont mises en place sur certains types</w:t>
            </w:r>
            <w:r w:rsidR="00356D22">
              <w:rPr>
                <w:rFonts w:asciiTheme="minorHAnsi" w:hAnsiTheme="minorHAnsi" w:cstheme="minorHAnsi"/>
                <w:sz w:val="18"/>
                <w:szCs w:val="18"/>
              </w:rPr>
              <w:t xml:space="preserve"> d’actifs, et préciser si le FCPR</w:t>
            </w:r>
            <w:r w:rsidRPr="00D5219B">
              <w:rPr>
                <w:rFonts w:asciiTheme="minorHAnsi" w:hAnsiTheme="minorHAnsi" w:cstheme="minorHAnsi"/>
                <w:sz w:val="18"/>
                <w:szCs w:val="18"/>
              </w:rPr>
              <w:t xml:space="preserve"> a un indicateur de référence ;</w:t>
            </w:r>
          </w:p>
          <w:p w:rsidR="00356D22" w:rsidRPr="00356D22" w:rsidRDefault="00356D22" w:rsidP="00356D22">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356D22">
              <w:rPr>
                <w:rFonts w:asciiTheme="minorHAnsi" w:hAnsiTheme="minorHAnsi" w:cstheme="minorHAnsi"/>
                <w:sz w:val="18"/>
                <w:szCs w:val="18"/>
              </w:rPr>
              <w:t>* préciser le type de gestion adopté (capital amorçage capital développement, capital-risque…) ;</w:t>
            </w:r>
          </w:p>
          <w:p w:rsidR="00356D22" w:rsidRPr="00356D22" w:rsidRDefault="00356D22" w:rsidP="00356D22">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356D22">
              <w:rPr>
                <w:rFonts w:asciiTheme="minorHAnsi" w:hAnsiTheme="minorHAnsi" w:cstheme="minorHAnsi"/>
                <w:sz w:val="18"/>
                <w:szCs w:val="18"/>
              </w:rPr>
              <w:t>* préciser la durée de blocage ;</w:t>
            </w:r>
          </w:p>
          <w:p w:rsidR="00D5219B" w:rsidRDefault="00356D22" w:rsidP="00356D22">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356D22">
              <w:rPr>
                <w:rFonts w:asciiTheme="minorHAnsi" w:hAnsiTheme="minorHAnsi" w:cstheme="minorHAnsi"/>
                <w:sz w:val="18"/>
                <w:szCs w:val="18"/>
              </w:rPr>
              <w:t xml:space="preserve">* affectation des résultats. </w:t>
            </w:r>
          </w:p>
          <w:p w:rsidR="00356D22" w:rsidRPr="00D5219B" w:rsidRDefault="00356D22" w:rsidP="00356D22">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Arial" w:hAnsi="Arial" w:cs="Arial"/>
                <w:sz w:val="16"/>
                <w:szCs w:val="16"/>
              </w:rPr>
            </w:pP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xml:space="preserve">- </w:t>
            </w:r>
            <w:r w:rsidRPr="00D5219B">
              <w:rPr>
                <w:rFonts w:asciiTheme="minorHAnsi" w:hAnsiTheme="minorHAnsi" w:cstheme="minorHAnsi"/>
                <w:sz w:val="18"/>
                <w:szCs w:val="18"/>
                <w:u w:val="single"/>
              </w:rPr>
              <w:t>Autres informations (si pertinent)</w:t>
            </w:r>
            <w:r w:rsidRPr="00D5219B">
              <w:rPr>
                <w:rFonts w:asciiTheme="minorHAnsi" w:hAnsiTheme="minorHAnsi" w:cstheme="minorHAnsi"/>
                <w:sz w:val="18"/>
                <w:szCs w:val="18"/>
              </w:rPr>
              <w:t> :</w:t>
            </w:r>
          </w:p>
          <w:p w:rsidR="00D5219B" w:rsidRPr="00D5219B" w:rsidRDefault="00356D22"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Pr>
                <w:rFonts w:asciiTheme="minorHAnsi" w:hAnsiTheme="minorHAnsi" w:cstheme="minorHAnsi"/>
                <w:sz w:val="18"/>
                <w:szCs w:val="18"/>
              </w:rPr>
              <w:t>* si le FCPR</w:t>
            </w:r>
            <w:r w:rsidR="00D5219B" w:rsidRPr="00D5219B">
              <w:rPr>
                <w:rFonts w:asciiTheme="minorHAnsi" w:hAnsiTheme="minorHAnsi" w:cstheme="minorHAnsi"/>
                <w:sz w:val="18"/>
                <w:szCs w:val="18"/>
              </w:rPr>
              <w:t xml:space="preserve"> investit dans des titres de créance, préciser la nature de l’émetteur (une société, un État ou une autre entité) et le niveau de risque de crédit sur l’émetteur envisagé ;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décrire le cas échéant, les techniques de couverture, d’arbitrage ou de leviers ;</w:t>
            </w:r>
          </w:p>
          <w:p w:rsid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xml:space="preserve">* préciser si la stratégie mise en œuvre entraîne la rotation du portefeuille sur la poche financière de manière régulière et dans ce cas avertir l’investisseur que des coûts supplémentaires lui seront prélevés en plus de ceux visés ci-après. </w:t>
            </w:r>
          </w:p>
          <w:p w:rsidR="00F72CA2" w:rsidRPr="00D5219B" w:rsidRDefault="00F72CA2"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p>
          <w:p w:rsidR="00D5219B" w:rsidRPr="00F72CA2" w:rsidRDefault="00D5219B" w:rsidP="00F72CA2">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textAlignment w:val="baseline"/>
              <w:rPr>
                <w:rFonts w:asciiTheme="minorHAnsi" w:hAnsiTheme="minorHAnsi" w:cstheme="minorHAnsi"/>
                <w:b/>
                <w:i/>
                <w:color w:val="000000"/>
                <w:sz w:val="18"/>
                <w:szCs w:val="18"/>
              </w:rPr>
            </w:pPr>
            <w:r w:rsidRPr="00D5219B">
              <w:rPr>
                <w:rFonts w:asciiTheme="minorHAnsi" w:hAnsiTheme="minorHAnsi" w:cstheme="minorHAnsi"/>
                <w:b/>
                <w:i/>
                <w:color w:val="000000"/>
                <w:sz w:val="18"/>
                <w:szCs w:val="18"/>
              </w:rPr>
              <w:t>« Recommandation : ce fonds pourrait ne pas convenir aux investisseurs qui prévoient de retirer leur apport dans [indiquer la période]</w:t>
            </w:r>
            <w:r w:rsidR="00695A7C">
              <w:rPr>
                <w:rFonts w:asciiTheme="minorHAnsi" w:hAnsiTheme="minorHAnsi" w:cstheme="minorHAnsi"/>
                <w:b/>
                <w:i/>
                <w:color w:val="000000"/>
                <w:sz w:val="18"/>
                <w:szCs w:val="18"/>
              </w:rPr>
              <w:t> »</w:t>
            </w:r>
          </w:p>
          <w:p w:rsidR="00D5219B" w:rsidRPr="00F72CA2" w:rsidRDefault="00D5219B" w:rsidP="00F72CA2">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center"/>
              <w:textAlignment w:val="baseline"/>
              <w:rPr>
                <w:rFonts w:asciiTheme="minorHAnsi" w:hAnsiTheme="minorHAnsi" w:cstheme="minorHAnsi"/>
                <w:b/>
                <w:bCs/>
                <w:iCs/>
                <w:sz w:val="18"/>
                <w:szCs w:val="18"/>
              </w:rPr>
            </w:pPr>
            <w:r w:rsidRPr="00D5219B">
              <w:rPr>
                <w:rFonts w:asciiTheme="minorHAnsi" w:hAnsiTheme="minorHAnsi" w:cstheme="minorHAnsi"/>
                <w:b/>
                <w:bCs/>
                <w:iCs/>
                <w:sz w:val="18"/>
                <w:szCs w:val="18"/>
              </w:rPr>
              <w:t>Pr</w:t>
            </w:r>
            <w:r w:rsidR="00F72CA2">
              <w:rPr>
                <w:rFonts w:asciiTheme="minorHAnsi" w:hAnsiTheme="minorHAnsi" w:cstheme="minorHAnsi"/>
                <w:b/>
                <w:bCs/>
                <w:iCs/>
                <w:sz w:val="18"/>
                <w:szCs w:val="18"/>
              </w:rPr>
              <w:t>ofil de risque et de rendement :</w:t>
            </w:r>
          </w:p>
          <w:p w:rsidR="00F72CA2" w:rsidRDefault="00212A09"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Pr>
                <w:rFonts w:asciiTheme="minorHAnsi" w:hAnsiTheme="minorHAnsi" w:cstheme="minorHAnsi"/>
                <w:b/>
                <w:bCs/>
                <w:iCs/>
                <w:noProof/>
                <w:sz w:val="18"/>
                <w:szCs w:val="18"/>
              </w:rPr>
              <mc:AlternateContent>
                <mc:Choice Requires="wpc">
                  <w:drawing>
                    <wp:anchor distT="0" distB="0" distL="114300" distR="114300" simplePos="0" relativeHeight="251666432" behindDoc="0" locked="0" layoutInCell="1" allowOverlap="1">
                      <wp:simplePos x="0" y="0"/>
                      <wp:positionH relativeFrom="column">
                        <wp:posOffset>506198</wp:posOffset>
                      </wp:positionH>
                      <wp:positionV relativeFrom="paragraph">
                        <wp:posOffset>145055</wp:posOffset>
                      </wp:positionV>
                      <wp:extent cx="4223154" cy="762000"/>
                      <wp:effectExtent l="0" t="0" r="0" b="0"/>
                      <wp:wrapNone/>
                      <wp:docPr id="42" name="Zone de dessin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10"/>
                              <wps:cNvSpPr>
                                <a:spLocks noChangeArrowheads="1"/>
                              </wps:cNvSpPr>
                              <wps:spPr bwMode="auto">
                                <a:xfrm>
                                  <a:off x="3239135" y="356870"/>
                                  <a:ext cx="487045" cy="2679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347345" y="29845"/>
                                  <a:ext cx="7759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CA2" w:rsidRDefault="00F72CA2">
                                    <w:r>
                                      <w:rPr>
                                        <w:rFonts w:ascii="Arial" w:hAnsi="Arial" w:cs="Arial"/>
                                        <w:color w:val="000000"/>
                                        <w:sz w:val="14"/>
                                        <w:szCs w:val="14"/>
                                        <w:lang w:val="en-US"/>
                                      </w:rPr>
                                      <w:t xml:space="preserve">A </w:t>
                                    </w:r>
                                    <w:proofErr w:type="spellStart"/>
                                    <w:r>
                                      <w:rPr>
                                        <w:rFonts w:ascii="Arial" w:hAnsi="Arial" w:cs="Arial"/>
                                        <w:color w:val="000000"/>
                                        <w:sz w:val="14"/>
                                        <w:szCs w:val="14"/>
                                        <w:lang w:val="en-US"/>
                                      </w:rPr>
                                      <w:t>risque</w:t>
                                    </w:r>
                                    <w:proofErr w:type="spellEnd"/>
                                    <w:r>
                                      <w:rPr>
                                        <w:rFonts w:ascii="Arial" w:hAnsi="Arial" w:cs="Arial"/>
                                        <w:color w:val="000000"/>
                                        <w:sz w:val="14"/>
                                        <w:szCs w:val="14"/>
                                        <w:lang w:val="en-US"/>
                                      </w:rPr>
                                      <w:t xml:space="preserve"> plus </w:t>
                                    </w:r>
                                    <w:proofErr w:type="spellStart"/>
                                    <w:r>
                                      <w:rPr>
                                        <w:rFonts w:ascii="Arial" w:hAnsi="Arial" w:cs="Arial"/>
                                        <w:color w:val="000000"/>
                                        <w:sz w:val="14"/>
                                        <w:szCs w:val="14"/>
                                        <w:lang w:val="en-US"/>
                                      </w:rPr>
                                      <w:t>faible</w:t>
                                    </w:r>
                                    <w:proofErr w:type="spellEnd"/>
                                    <w:r>
                                      <w:rPr>
                                        <w:rFonts w:ascii="Arial" w:hAnsi="Arial" w:cs="Arial"/>
                                        <w:color w:val="000000"/>
                                        <w:sz w:val="14"/>
                                        <w:szCs w:val="14"/>
                                        <w:lang w:val="en-US"/>
                                      </w:rPr>
                                      <w:t>,</w:t>
                                    </w:r>
                                  </w:p>
                                </w:txbxContent>
                              </wps:txbx>
                              <wps:bodyPr rot="0" vert="horz" wrap="none" lIns="0" tIns="0" rIns="0" bIns="0" anchor="t" anchorCtr="0">
                                <a:spAutoFit/>
                              </wps:bodyPr>
                            </wps:wsp>
                            <wps:wsp>
                              <wps:cNvPr id="11" name="Rectangle 12"/>
                              <wps:cNvSpPr>
                                <a:spLocks noChangeArrowheads="1"/>
                              </wps:cNvSpPr>
                              <wps:spPr bwMode="auto">
                                <a:xfrm>
                                  <a:off x="2775585" y="29845"/>
                                  <a:ext cx="7759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CA2" w:rsidRDefault="00F72CA2">
                                    <w:r>
                                      <w:rPr>
                                        <w:rFonts w:ascii="Arial" w:hAnsi="Arial" w:cs="Arial"/>
                                        <w:color w:val="000000"/>
                                        <w:sz w:val="14"/>
                                        <w:szCs w:val="14"/>
                                        <w:lang w:val="en-US"/>
                                      </w:rPr>
                                      <w:t xml:space="preserve">A </w:t>
                                    </w:r>
                                    <w:proofErr w:type="spellStart"/>
                                    <w:r>
                                      <w:rPr>
                                        <w:rFonts w:ascii="Arial" w:hAnsi="Arial" w:cs="Arial"/>
                                        <w:color w:val="000000"/>
                                        <w:sz w:val="14"/>
                                        <w:szCs w:val="14"/>
                                        <w:lang w:val="en-US"/>
                                      </w:rPr>
                                      <w:t>risque</w:t>
                                    </w:r>
                                    <w:proofErr w:type="spellEnd"/>
                                    <w:r>
                                      <w:rPr>
                                        <w:rFonts w:ascii="Arial" w:hAnsi="Arial" w:cs="Arial"/>
                                        <w:color w:val="000000"/>
                                        <w:sz w:val="14"/>
                                        <w:szCs w:val="14"/>
                                        <w:lang w:val="en-US"/>
                                      </w:rPr>
                                      <w:t xml:space="preserve"> plus </w:t>
                                    </w:r>
                                    <w:proofErr w:type="spellStart"/>
                                    <w:r>
                                      <w:rPr>
                                        <w:rFonts w:ascii="Arial" w:hAnsi="Arial" w:cs="Arial"/>
                                        <w:color w:val="000000"/>
                                        <w:sz w:val="14"/>
                                        <w:szCs w:val="14"/>
                                        <w:lang w:val="en-US"/>
                                      </w:rPr>
                                      <w:t>élevé</w:t>
                                    </w:r>
                                    <w:proofErr w:type="spellEnd"/>
                                    <w:r>
                                      <w:rPr>
                                        <w:rFonts w:ascii="Arial" w:hAnsi="Arial" w:cs="Arial"/>
                                        <w:color w:val="000000"/>
                                        <w:sz w:val="14"/>
                                        <w:szCs w:val="14"/>
                                        <w:lang w:val="en-US"/>
                                      </w:rPr>
                                      <w:t>,</w:t>
                                    </w:r>
                                  </w:p>
                                </w:txbxContent>
                              </wps:txbx>
                              <wps:bodyPr rot="0" vert="horz" wrap="none" lIns="0" tIns="0" rIns="0" bIns="0" anchor="t" anchorCtr="0">
                                <a:spAutoFit/>
                              </wps:bodyPr>
                            </wps:wsp>
                            <wps:wsp>
                              <wps:cNvPr id="12" name="Rectangle 13"/>
                              <wps:cNvSpPr>
                                <a:spLocks noChangeArrowheads="1"/>
                              </wps:cNvSpPr>
                              <wps:spPr bwMode="auto">
                                <a:xfrm>
                                  <a:off x="347345" y="163195"/>
                                  <a:ext cx="14782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CA2" w:rsidRDefault="00F72CA2">
                                    <w:proofErr w:type="spellStart"/>
                                    <w:proofErr w:type="gramStart"/>
                                    <w:r>
                                      <w:rPr>
                                        <w:rFonts w:ascii="Arial" w:hAnsi="Arial" w:cs="Arial"/>
                                        <w:color w:val="000000"/>
                                        <w:sz w:val="14"/>
                                        <w:szCs w:val="14"/>
                                        <w:lang w:val="en-US"/>
                                      </w:rPr>
                                      <w:t>rendement</w:t>
                                    </w:r>
                                    <w:proofErr w:type="spellEnd"/>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potentiellement</w:t>
                                    </w:r>
                                    <w:proofErr w:type="spellEnd"/>
                                    <w:r>
                                      <w:rPr>
                                        <w:rFonts w:ascii="Arial" w:hAnsi="Arial" w:cs="Arial"/>
                                        <w:color w:val="000000"/>
                                        <w:sz w:val="14"/>
                                        <w:szCs w:val="14"/>
                                        <w:lang w:val="en-US"/>
                                      </w:rPr>
                                      <w:t xml:space="preserve"> plus </w:t>
                                    </w:r>
                                    <w:proofErr w:type="spellStart"/>
                                    <w:r>
                                      <w:rPr>
                                        <w:rFonts w:ascii="Arial" w:hAnsi="Arial" w:cs="Arial"/>
                                        <w:color w:val="000000"/>
                                        <w:sz w:val="14"/>
                                        <w:szCs w:val="14"/>
                                        <w:lang w:val="en-US"/>
                                      </w:rPr>
                                      <w:t>faible</w:t>
                                    </w:r>
                                    <w:proofErr w:type="spellEnd"/>
                                  </w:p>
                                </w:txbxContent>
                              </wps:txbx>
                              <wps:bodyPr rot="0" vert="horz" wrap="none" lIns="0" tIns="0" rIns="0" bIns="0" anchor="t" anchorCtr="0">
                                <a:spAutoFit/>
                              </wps:bodyPr>
                            </wps:wsp>
                            <wps:wsp>
                              <wps:cNvPr id="13" name="Rectangle 14"/>
                              <wps:cNvSpPr>
                                <a:spLocks noChangeArrowheads="1"/>
                              </wps:cNvSpPr>
                              <wps:spPr bwMode="auto">
                                <a:xfrm>
                                  <a:off x="2289810" y="163195"/>
                                  <a:ext cx="14782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CA2" w:rsidRDefault="00F72CA2">
                                    <w:proofErr w:type="spellStart"/>
                                    <w:proofErr w:type="gramStart"/>
                                    <w:r>
                                      <w:rPr>
                                        <w:rFonts w:ascii="Arial" w:hAnsi="Arial" w:cs="Arial"/>
                                        <w:color w:val="000000"/>
                                        <w:sz w:val="14"/>
                                        <w:szCs w:val="14"/>
                                        <w:lang w:val="en-US"/>
                                      </w:rPr>
                                      <w:t>rendement</w:t>
                                    </w:r>
                                    <w:proofErr w:type="spellEnd"/>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potentiellement</w:t>
                                    </w:r>
                                    <w:proofErr w:type="spellEnd"/>
                                    <w:r>
                                      <w:rPr>
                                        <w:rFonts w:ascii="Arial" w:hAnsi="Arial" w:cs="Arial"/>
                                        <w:color w:val="000000"/>
                                        <w:sz w:val="14"/>
                                        <w:szCs w:val="14"/>
                                        <w:lang w:val="en-US"/>
                                      </w:rPr>
                                      <w:t xml:space="preserve"> plus </w:t>
                                    </w:r>
                                    <w:proofErr w:type="spellStart"/>
                                    <w:r>
                                      <w:rPr>
                                        <w:rFonts w:ascii="Arial" w:hAnsi="Arial" w:cs="Arial"/>
                                        <w:color w:val="000000"/>
                                        <w:sz w:val="14"/>
                                        <w:szCs w:val="14"/>
                                        <w:lang w:val="en-US"/>
                                      </w:rPr>
                                      <w:t>élevé</w:t>
                                    </w:r>
                                    <w:proofErr w:type="spellEnd"/>
                                  </w:p>
                                </w:txbxContent>
                              </wps:txbx>
                              <wps:bodyPr rot="0" vert="horz" wrap="none" lIns="0" tIns="0" rIns="0" bIns="0" anchor="t" anchorCtr="0">
                                <a:spAutoFit/>
                              </wps:bodyPr>
                            </wps:wsp>
                            <wps:wsp>
                              <wps:cNvPr id="14" name="Rectangle 15"/>
                              <wps:cNvSpPr>
                                <a:spLocks noChangeArrowheads="1"/>
                              </wps:cNvSpPr>
                              <wps:spPr bwMode="auto">
                                <a:xfrm>
                                  <a:off x="2486025" y="4127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CA2" w:rsidRDefault="00F72CA2">
                                    <w:r>
                                      <w:rPr>
                                        <w:rFonts w:ascii="Arial" w:hAnsi="Arial" w:cs="Arial"/>
                                        <w:b/>
                                        <w:bCs/>
                                        <w:color w:val="000000"/>
                                        <w:sz w:val="20"/>
                                        <w:szCs w:val="20"/>
                                        <w:lang w:val="en-US"/>
                                      </w:rPr>
                                      <w:t>5</w:t>
                                    </w:r>
                                  </w:p>
                                </w:txbxContent>
                              </wps:txbx>
                              <wps:bodyPr rot="0" vert="horz" wrap="none" lIns="0" tIns="0" rIns="0" bIns="0" anchor="t" anchorCtr="0">
                                <a:spAutoFit/>
                              </wps:bodyPr>
                            </wps:wsp>
                            <wps:wsp>
                              <wps:cNvPr id="15" name="Rectangle 16"/>
                              <wps:cNvSpPr>
                                <a:spLocks noChangeArrowheads="1"/>
                              </wps:cNvSpPr>
                              <wps:spPr bwMode="auto">
                                <a:xfrm>
                                  <a:off x="2971800" y="4127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CA2" w:rsidRDefault="00F72CA2">
                                    <w:r>
                                      <w:rPr>
                                        <w:rFonts w:ascii="Arial" w:hAnsi="Arial" w:cs="Arial"/>
                                        <w:b/>
                                        <w:bCs/>
                                        <w:color w:val="000000"/>
                                        <w:sz w:val="20"/>
                                        <w:szCs w:val="20"/>
                                        <w:lang w:val="en-US"/>
                                      </w:rPr>
                                      <w:t>6</w:t>
                                    </w:r>
                                  </w:p>
                                </w:txbxContent>
                              </wps:txbx>
                              <wps:bodyPr rot="0" vert="horz" wrap="none" lIns="0" tIns="0" rIns="0" bIns="0" anchor="t" anchorCtr="0">
                                <a:spAutoFit/>
                              </wps:bodyPr>
                            </wps:wsp>
                            <wps:wsp>
                              <wps:cNvPr id="16" name="Rectangle 17"/>
                              <wps:cNvSpPr>
                                <a:spLocks noChangeArrowheads="1"/>
                              </wps:cNvSpPr>
                              <wps:spPr bwMode="auto">
                                <a:xfrm>
                                  <a:off x="3456940" y="4127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CA2" w:rsidRDefault="00F72CA2">
                                    <w:r>
                                      <w:rPr>
                                        <w:rFonts w:ascii="Arial" w:hAnsi="Arial" w:cs="Arial"/>
                                        <w:b/>
                                        <w:bCs/>
                                        <w:color w:val="000000"/>
                                        <w:sz w:val="20"/>
                                        <w:szCs w:val="20"/>
                                        <w:lang w:val="en-US"/>
                                      </w:rPr>
                                      <w:t>7</w:t>
                                    </w:r>
                                  </w:p>
                                </w:txbxContent>
                              </wps:txbx>
                              <wps:bodyPr rot="0" vert="horz" wrap="none" lIns="0" tIns="0" rIns="0" bIns="0" anchor="t" anchorCtr="0">
                                <a:spAutoFit/>
                              </wps:bodyPr>
                            </wps:wsp>
                            <wps:wsp>
                              <wps:cNvPr id="17" name="Rectangle 18"/>
                              <wps:cNvSpPr>
                                <a:spLocks noChangeArrowheads="1"/>
                              </wps:cNvSpPr>
                              <wps:spPr bwMode="auto">
                                <a:xfrm>
                                  <a:off x="543560" y="4127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CA2" w:rsidRDefault="00F72CA2">
                                    <w:r>
                                      <w:rPr>
                                        <w:rFonts w:ascii="Arial" w:hAnsi="Arial" w:cs="Arial"/>
                                        <w:b/>
                                        <w:bCs/>
                                        <w:color w:val="000000"/>
                                        <w:sz w:val="20"/>
                                        <w:szCs w:val="20"/>
                                        <w:lang w:val="en-US"/>
                                      </w:rPr>
                                      <w:t>1</w:t>
                                    </w:r>
                                  </w:p>
                                </w:txbxContent>
                              </wps:txbx>
                              <wps:bodyPr rot="0" vert="horz" wrap="none" lIns="0" tIns="0" rIns="0" bIns="0" anchor="t" anchorCtr="0">
                                <a:spAutoFit/>
                              </wps:bodyPr>
                            </wps:wsp>
                            <wps:wsp>
                              <wps:cNvPr id="18" name="Rectangle 19"/>
                              <wps:cNvSpPr>
                                <a:spLocks noChangeArrowheads="1"/>
                              </wps:cNvSpPr>
                              <wps:spPr bwMode="auto">
                                <a:xfrm>
                                  <a:off x="1029335" y="4127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CA2" w:rsidRDefault="00F72CA2">
                                    <w:r>
                                      <w:rPr>
                                        <w:rFonts w:ascii="Arial" w:hAnsi="Arial" w:cs="Arial"/>
                                        <w:b/>
                                        <w:bCs/>
                                        <w:color w:val="000000"/>
                                        <w:sz w:val="20"/>
                                        <w:szCs w:val="20"/>
                                        <w:lang w:val="en-US"/>
                                      </w:rPr>
                                      <w:t>2</w:t>
                                    </w:r>
                                  </w:p>
                                </w:txbxContent>
                              </wps:txbx>
                              <wps:bodyPr rot="0" vert="horz" wrap="none" lIns="0" tIns="0" rIns="0" bIns="0" anchor="t" anchorCtr="0">
                                <a:spAutoFit/>
                              </wps:bodyPr>
                            </wps:wsp>
                            <wps:wsp>
                              <wps:cNvPr id="19" name="Rectangle 20"/>
                              <wps:cNvSpPr>
                                <a:spLocks noChangeArrowheads="1"/>
                              </wps:cNvSpPr>
                              <wps:spPr bwMode="auto">
                                <a:xfrm>
                                  <a:off x="1515110" y="4127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CA2" w:rsidRDefault="00F72CA2">
                                    <w:r>
                                      <w:rPr>
                                        <w:rFonts w:ascii="Arial" w:hAnsi="Arial" w:cs="Arial"/>
                                        <w:b/>
                                        <w:bCs/>
                                        <w:color w:val="000000"/>
                                        <w:sz w:val="20"/>
                                        <w:szCs w:val="20"/>
                                        <w:lang w:val="en-US"/>
                                      </w:rPr>
                                      <w:t>3</w:t>
                                    </w:r>
                                  </w:p>
                                </w:txbxContent>
                              </wps:txbx>
                              <wps:bodyPr rot="0" vert="horz" wrap="none" lIns="0" tIns="0" rIns="0" bIns="0" anchor="t" anchorCtr="0">
                                <a:spAutoFit/>
                              </wps:bodyPr>
                            </wps:wsp>
                            <wps:wsp>
                              <wps:cNvPr id="20" name="Rectangle 21"/>
                              <wps:cNvSpPr>
                                <a:spLocks noChangeArrowheads="1"/>
                              </wps:cNvSpPr>
                              <wps:spPr bwMode="auto">
                                <a:xfrm>
                                  <a:off x="2000250" y="4127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CA2" w:rsidRDefault="00F72CA2">
                                    <w:r>
                                      <w:rPr>
                                        <w:rFonts w:ascii="Arial" w:hAnsi="Arial" w:cs="Arial"/>
                                        <w:b/>
                                        <w:bCs/>
                                        <w:color w:val="000000"/>
                                        <w:sz w:val="20"/>
                                        <w:szCs w:val="20"/>
                                        <w:lang w:val="en-US"/>
                                      </w:rPr>
                                      <w:t>4</w:t>
                                    </w:r>
                                  </w:p>
                                </w:txbxContent>
                              </wps:txbx>
                              <wps:bodyPr rot="0" vert="horz" wrap="none" lIns="0" tIns="0" rIns="0" bIns="0" anchor="t" anchorCtr="0">
                                <a:spAutoFit/>
                              </wps:bodyPr>
                            </wps:wsp>
                            <wps:wsp>
                              <wps:cNvPr id="21" name="Line 22"/>
                              <wps:cNvCnPr>
                                <a:cxnSpLocks noChangeShapeType="1"/>
                              </wps:cNvCnPr>
                              <wps:spPr bwMode="auto">
                                <a:xfrm>
                                  <a:off x="325755" y="351790"/>
                                  <a:ext cx="0" cy="2768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23"/>
                              <wps:cNvSpPr>
                                <a:spLocks noChangeArrowheads="1"/>
                              </wps:cNvSpPr>
                              <wps:spPr bwMode="auto">
                                <a:xfrm>
                                  <a:off x="325755" y="351790"/>
                                  <a:ext cx="9525" cy="276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4"/>
                              <wps:cNvCnPr>
                                <a:cxnSpLocks noChangeShapeType="1"/>
                              </wps:cNvCnPr>
                              <wps:spPr bwMode="auto">
                                <a:xfrm>
                                  <a:off x="811530" y="361950"/>
                                  <a:ext cx="0" cy="266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5"/>
                              <wps:cNvSpPr>
                                <a:spLocks noChangeArrowheads="1"/>
                              </wps:cNvSpPr>
                              <wps:spPr bwMode="auto">
                                <a:xfrm>
                                  <a:off x="811530" y="361950"/>
                                  <a:ext cx="9525"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6"/>
                              <wps:cNvCnPr>
                                <a:cxnSpLocks noChangeShapeType="1"/>
                              </wps:cNvCnPr>
                              <wps:spPr bwMode="auto">
                                <a:xfrm>
                                  <a:off x="1296670" y="361950"/>
                                  <a:ext cx="0" cy="266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7"/>
                              <wps:cNvSpPr>
                                <a:spLocks noChangeArrowheads="1"/>
                              </wps:cNvSpPr>
                              <wps:spPr bwMode="auto">
                                <a:xfrm>
                                  <a:off x="1296670" y="361950"/>
                                  <a:ext cx="10160"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1782445" y="361950"/>
                                  <a:ext cx="0" cy="266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9"/>
                              <wps:cNvSpPr>
                                <a:spLocks noChangeArrowheads="1"/>
                              </wps:cNvSpPr>
                              <wps:spPr bwMode="auto">
                                <a:xfrm>
                                  <a:off x="1782445" y="361950"/>
                                  <a:ext cx="9525"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0"/>
                              <wps:cNvCnPr>
                                <a:cxnSpLocks noChangeShapeType="1"/>
                              </wps:cNvCnPr>
                              <wps:spPr bwMode="auto">
                                <a:xfrm>
                                  <a:off x="2268220" y="361950"/>
                                  <a:ext cx="0" cy="266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1"/>
                              <wps:cNvSpPr>
                                <a:spLocks noChangeArrowheads="1"/>
                              </wps:cNvSpPr>
                              <wps:spPr bwMode="auto">
                                <a:xfrm>
                                  <a:off x="2268220" y="361950"/>
                                  <a:ext cx="9525"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2"/>
                              <wps:cNvCnPr>
                                <a:cxnSpLocks noChangeShapeType="1"/>
                              </wps:cNvCnPr>
                              <wps:spPr bwMode="auto">
                                <a:xfrm>
                                  <a:off x="2753360" y="361950"/>
                                  <a:ext cx="0" cy="266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3"/>
                              <wps:cNvSpPr>
                                <a:spLocks noChangeArrowheads="1"/>
                              </wps:cNvSpPr>
                              <wps:spPr bwMode="auto">
                                <a:xfrm>
                                  <a:off x="2753360" y="361950"/>
                                  <a:ext cx="10160"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4"/>
                              <wps:cNvCnPr>
                                <a:cxnSpLocks noChangeShapeType="1"/>
                              </wps:cNvCnPr>
                              <wps:spPr bwMode="auto">
                                <a:xfrm>
                                  <a:off x="3239135" y="361950"/>
                                  <a:ext cx="0" cy="266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5"/>
                              <wps:cNvSpPr>
                                <a:spLocks noChangeArrowheads="1"/>
                              </wps:cNvSpPr>
                              <wps:spPr bwMode="auto">
                                <a:xfrm>
                                  <a:off x="3239135" y="361950"/>
                                  <a:ext cx="9525"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6"/>
                              <wps:cNvCnPr>
                                <a:cxnSpLocks noChangeShapeType="1"/>
                              </wps:cNvCnPr>
                              <wps:spPr bwMode="auto">
                                <a:xfrm>
                                  <a:off x="3724910" y="361950"/>
                                  <a:ext cx="0" cy="266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7"/>
                              <wps:cNvSpPr>
                                <a:spLocks noChangeArrowheads="1"/>
                              </wps:cNvSpPr>
                              <wps:spPr bwMode="auto">
                                <a:xfrm>
                                  <a:off x="3724910" y="361950"/>
                                  <a:ext cx="9525"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8"/>
                              <wps:cNvCnPr>
                                <a:cxnSpLocks noChangeShapeType="1"/>
                              </wps:cNvCnPr>
                              <wps:spPr bwMode="auto">
                                <a:xfrm>
                                  <a:off x="725170" y="748605"/>
                                  <a:ext cx="3399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39"/>
                              <wps:cNvSpPr>
                                <a:spLocks noChangeArrowheads="1"/>
                              </wps:cNvSpPr>
                              <wps:spPr bwMode="auto">
                                <a:xfrm>
                                  <a:off x="335280" y="351790"/>
                                  <a:ext cx="339915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0"/>
                              <wps:cNvCnPr>
                                <a:cxnSpLocks noChangeShapeType="1"/>
                              </wps:cNvCnPr>
                              <wps:spPr bwMode="auto">
                                <a:xfrm>
                                  <a:off x="335280" y="618490"/>
                                  <a:ext cx="3399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1"/>
                              <wps:cNvSpPr>
                                <a:spLocks noChangeArrowheads="1"/>
                              </wps:cNvSpPr>
                              <wps:spPr bwMode="auto">
                                <a:xfrm>
                                  <a:off x="335280" y="618490"/>
                                  <a:ext cx="339915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2"/>
                              <wps:cNvSpPr>
                                <a:spLocks noEditPoints="1"/>
                              </wps:cNvSpPr>
                              <wps:spPr bwMode="auto">
                                <a:xfrm>
                                  <a:off x="325120" y="115570"/>
                                  <a:ext cx="3399155" cy="64770"/>
                                </a:xfrm>
                                <a:custGeom>
                                  <a:avLst/>
                                  <a:gdLst>
                                    <a:gd name="T0" fmla="*/ 80 w 5353"/>
                                    <a:gd name="T1" fmla="*/ 34 h 102"/>
                                    <a:gd name="T2" fmla="*/ 5274 w 5353"/>
                                    <a:gd name="T3" fmla="*/ 34 h 102"/>
                                    <a:gd name="T4" fmla="*/ 5274 w 5353"/>
                                    <a:gd name="T5" fmla="*/ 68 h 102"/>
                                    <a:gd name="T6" fmla="*/ 80 w 5353"/>
                                    <a:gd name="T7" fmla="*/ 68 h 102"/>
                                    <a:gd name="T8" fmla="*/ 80 w 5353"/>
                                    <a:gd name="T9" fmla="*/ 34 h 102"/>
                                    <a:gd name="T10" fmla="*/ 95 w 5353"/>
                                    <a:gd name="T11" fmla="*/ 102 h 102"/>
                                    <a:gd name="T12" fmla="*/ 0 w 5353"/>
                                    <a:gd name="T13" fmla="*/ 51 h 102"/>
                                    <a:gd name="T14" fmla="*/ 95 w 5353"/>
                                    <a:gd name="T15" fmla="*/ 0 h 102"/>
                                    <a:gd name="T16" fmla="*/ 95 w 5353"/>
                                    <a:gd name="T17" fmla="*/ 102 h 102"/>
                                    <a:gd name="T18" fmla="*/ 5258 w 5353"/>
                                    <a:gd name="T19" fmla="*/ 0 h 102"/>
                                    <a:gd name="T20" fmla="*/ 5353 w 5353"/>
                                    <a:gd name="T21" fmla="*/ 51 h 102"/>
                                    <a:gd name="T22" fmla="*/ 5258 w 5353"/>
                                    <a:gd name="T23" fmla="*/ 102 h 102"/>
                                    <a:gd name="T24" fmla="*/ 5258 w 5353"/>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53" h="102">
                                      <a:moveTo>
                                        <a:pt x="80" y="34"/>
                                      </a:moveTo>
                                      <a:lnTo>
                                        <a:pt x="5274" y="34"/>
                                      </a:lnTo>
                                      <a:lnTo>
                                        <a:pt x="5274" y="68"/>
                                      </a:lnTo>
                                      <a:lnTo>
                                        <a:pt x="80" y="68"/>
                                      </a:lnTo>
                                      <a:lnTo>
                                        <a:pt x="80" y="34"/>
                                      </a:lnTo>
                                      <a:close/>
                                      <a:moveTo>
                                        <a:pt x="95" y="102"/>
                                      </a:moveTo>
                                      <a:lnTo>
                                        <a:pt x="0" y="51"/>
                                      </a:lnTo>
                                      <a:lnTo>
                                        <a:pt x="95" y="0"/>
                                      </a:lnTo>
                                      <a:lnTo>
                                        <a:pt x="95" y="102"/>
                                      </a:lnTo>
                                      <a:close/>
                                      <a:moveTo>
                                        <a:pt x="5258" y="0"/>
                                      </a:moveTo>
                                      <a:lnTo>
                                        <a:pt x="5353" y="51"/>
                                      </a:lnTo>
                                      <a:lnTo>
                                        <a:pt x="5258" y="102"/>
                                      </a:lnTo>
                                      <a:lnTo>
                                        <a:pt x="5258" y="0"/>
                                      </a:lnTo>
                                      <a:close/>
                                    </a:path>
                                  </a:pathLst>
                                </a:custGeom>
                                <a:solidFill>
                                  <a:srgbClr val="808080"/>
                                </a:solidFill>
                                <a:ln w="1270" cap="flat">
                                  <a:solidFill>
                                    <a:srgbClr val="808080"/>
                                  </a:solidFill>
                                  <a:prstDash val="solid"/>
                                  <a:bevel/>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one de dessin 42" o:spid="_x0000_s1026" editas="canvas" style="position:absolute;left:0;text-align:left;margin-left:39.85pt;margin-top:11.4pt;width:332.55pt;height:60pt;z-index:251666432" coordsize="4222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">
                      <v:shape id="_x0000_s1027" type="#_x0000_t75" style="position:absolute;width:42227;height:7620;visibility:visible;mso-wrap-style:square">
                        <v:fill o:detectmouseclick="t"/>
                        <v:path o:connecttype="none"/>
                      </v:shape>
                      <v:rect id="Rectangle 10" o:spid="_x0000_s1028" style="position:absolute;left:32391;top:3568;width:487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rect id="Rectangle 11" o:spid="_x0000_s1029" style="position:absolute;left:3473;top:298;width:776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F72CA2" w:rsidRDefault="00F72CA2">
                              <w:r>
                                <w:rPr>
                                  <w:rFonts w:ascii="Arial" w:hAnsi="Arial" w:cs="Arial"/>
                                  <w:color w:val="000000"/>
                                  <w:sz w:val="14"/>
                                  <w:szCs w:val="14"/>
                                  <w:lang w:val="en-US"/>
                                </w:rPr>
                                <w:t xml:space="preserve">A </w:t>
                              </w:r>
                              <w:proofErr w:type="spellStart"/>
                              <w:r>
                                <w:rPr>
                                  <w:rFonts w:ascii="Arial" w:hAnsi="Arial" w:cs="Arial"/>
                                  <w:color w:val="000000"/>
                                  <w:sz w:val="14"/>
                                  <w:szCs w:val="14"/>
                                  <w:lang w:val="en-US"/>
                                </w:rPr>
                                <w:t>risque</w:t>
                              </w:r>
                              <w:proofErr w:type="spellEnd"/>
                              <w:r>
                                <w:rPr>
                                  <w:rFonts w:ascii="Arial" w:hAnsi="Arial" w:cs="Arial"/>
                                  <w:color w:val="000000"/>
                                  <w:sz w:val="14"/>
                                  <w:szCs w:val="14"/>
                                  <w:lang w:val="en-US"/>
                                </w:rPr>
                                <w:t xml:space="preserve"> plus </w:t>
                              </w:r>
                              <w:proofErr w:type="spellStart"/>
                              <w:r>
                                <w:rPr>
                                  <w:rFonts w:ascii="Arial" w:hAnsi="Arial" w:cs="Arial"/>
                                  <w:color w:val="000000"/>
                                  <w:sz w:val="14"/>
                                  <w:szCs w:val="14"/>
                                  <w:lang w:val="en-US"/>
                                </w:rPr>
                                <w:t>faible</w:t>
                              </w:r>
                              <w:proofErr w:type="spellEnd"/>
                              <w:r>
                                <w:rPr>
                                  <w:rFonts w:ascii="Arial" w:hAnsi="Arial" w:cs="Arial"/>
                                  <w:color w:val="000000"/>
                                  <w:sz w:val="14"/>
                                  <w:szCs w:val="14"/>
                                  <w:lang w:val="en-US"/>
                                </w:rPr>
                                <w:t>,</w:t>
                              </w:r>
                            </w:p>
                          </w:txbxContent>
                        </v:textbox>
                      </v:rect>
                      <v:rect id="Rectangle 12" o:spid="_x0000_s1030" style="position:absolute;left:27755;top:298;width:776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F72CA2" w:rsidRDefault="00F72CA2">
                              <w:r>
                                <w:rPr>
                                  <w:rFonts w:ascii="Arial" w:hAnsi="Arial" w:cs="Arial"/>
                                  <w:color w:val="000000"/>
                                  <w:sz w:val="14"/>
                                  <w:szCs w:val="14"/>
                                  <w:lang w:val="en-US"/>
                                </w:rPr>
                                <w:t xml:space="preserve">A </w:t>
                              </w:r>
                              <w:proofErr w:type="spellStart"/>
                              <w:r>
                                <w:rPr>
                                  <w:rFonts w:ascii="Arial" w:hAnsi="Arial" w:cs="Arial"/>
                                  <w:color w:val="000000"/>
                                  <w:sz w:val="14"/>
                                  <w:szCs w:val="14"/>
                                  <w:lang w:val="en-US"/>
                                </w:rPr>
                                <w:t>risque</w:t>
                              </w:r>
                              <w:proofErr w:type="spellEnd"/>
                              <w:r>
                                <w:rPr>
                                  <w:rFonts w:ascii="Arial" w:hAnsi="Arial" w:cs="Arial"/>
                                  <w:color w:val="000000"/>
                                  <w:sz w:val="14"/>
                                  <w:szCs w:val="14"/>
                                  <w:lang w:val="en-US"/>
                                </w:rPr>
                                <w:t xml:space="preserve"> plus </w:t>
                              </w:r>
                              <w:proofErr w:type="spellStart"/>
                              <w:r>
                                <w:rPr>
                                  <w:rFonts w:ascii="Arial" w:hAnsi="Arial" w:cs="Arial"/>
                                  <w:color w:val="000000"/>
                                  <w:sz w:val="14"/>
                                  <w:szCs w:val="14"/>
                                  <w:lang w:val="en-US"/>
                                </w:rPr>
                                <w:t>élevé</w:t>
                              </w:r>
                              <w:proofErr w:type="spellEnd"/>
                              <w:r>
                                <w:rPr>
                                  <w:rFonts w:ascii="Arial" w:hAnsi="Arial" w:cs="Arial"/>
                                  <w:color w:val="000000"/>
                                  <w:sz w:val="14"/>
                                  <w:szCs w:val="14"/>
                                  <w:lang w:val="en-US"/>
                                </w:rPr>
                                <w:t>,</w:t>
                              </w:r>
                            </w:p>
                          </w:txbxContent>
                        </v:textbox>
                      </v:rect>
                      <v:rect id="Rectangle 13" o:spid="_x0000_s1031" style="position:absolute;left:3473;top:1631;width:14783;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F72CA2" w:rsidRDefault="00F72CA2">
                              <w:proofErr w:type="spellStart"/>
                              <w:proofErr w:type="gramStart"/>
                              <w:r>
                                <w:rPr>
                                  <w:rFonts w:ascii="Arial" w:hAnsi="Arial" w:cs="Arial"/>
                                  <w:color w:val="000000"/>
                                  <w:sz w:val="14"/>
                                  <w:szCs w:val="14"/>
                                  <w:lang w:val="en-US"/>
                                </w:rPr>
                                <w:t>rendement</w:t>
                              </w:r>
                              <w:proofErr w:type="spellEnd"/>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potentiellement</w:t>
                              </w:r>
                              <w:proofErr w:type="spellEnd"/>
                              <w:r>
                                <w:rPr>
                                  <w:rFonts w:ascii="Arial" w:hAnsi="Arial" w:cs="Arial"/>
                                  <w:color w:val="000000"/>
                                  <w:sz w:val="14"/>
                                  <w:szCs w:val="14"/>
                                  <w:lang w:val="en-US"/>
                                </w:rPr>
                                <w:t xml:space="preserve"> plus </w:t>
                              </w:r>
                              <w:proofErr w:type="spellStart"/>
                              <w:r>
                                <w:rPr>
                                  <w:rFonts w:ascii="Arial" w:hAnsi="Arial" w:cs="Arial"/>
                                  <w:color w:val="000000"/>
                                  <w:sz w:val="14"/>
                                  <w:szCs w:val="14"/>
                                  <w:lang w:val="en-US"/>
                                </w:rPr>
                                <w:t>faible</w:t>
                              </w:r>
                              <w:proofErr w:type="spellEnd"/>
                            </w:p>
                          </w:txbxContent>
                        </v:textbox>
                      </v:rect>
                      <v:rect id="Rectangle 14" o:spid="_x0000_s1032" style="position:absolute;left:22898;top:1631;width:1478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F72CA2" w:rsidRDefault="00F72CA2">
                              <w:proofErr w:type="spellStart"/>
                              <w:proofErr w:type="gramStart"/>
                              <w:r>
                                <w:rPr>
                                  <w:rFonts w:ascii="Arial" w:hAnsi="Arial" w:cs="Arial"/>
                                  <w:color w:val="000000"/>
                                  <w:sz w:val="14"/>
                                  <w:szCs w:val="14"/>
                                  <w:lang w:val="en-US"/>
                                </w:rPr>
                                <w:t>rendement</w:t>
                              </w:r>
                              <w:proofErr w:type="spellEnd"/>
                              <w:proofErr w:type="gram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potentiellement</w:t>
                              </w:r>
                              <w:proofErr w:type="spellEnd"/>
                              <w:r>
                                <w:rPr>
                                  <w:rFonts w:ascii="Arial" w:hAnsi="Arial" w:cs="Arial"/>
                                  <w:color w:val="000000"/>
                                  <w:sz w:val="14"/>
                                  <w:szCs w:val="14"/>
                                  <w:lang w:val="en-US"/>
                                </w:rPr>
                                <w:t xml:space="preserve"> plus </w:t>
                              </w:r>
                              <w:proofErr w:type="spellStart"/>
                              <w:r>
                                <w:rPr>
                                  <w:rFonts w:ascii="Arial" w:hAnsi="Arial" w:cs="Arial"/>
                                  <w:color w:val="000000"/>
                                  <w:sz w:val="14"/>
                                  <w:szCs w:val="14"/>
                                  <w:lang w:val="en-US"/>
                                </w:rPr>
                                <w:t>élevé</w:t>
                              </w:r>
                              <w:proofErr w:type="spellEnd"/>
                            </w:p>
                          </w:txbxContent>
                        </v:textbox>
                      </v:rect>
                      <v:rect id="Rectangle 15" o:spid="_x0000_s1033" style="position:absolute;left:24860;top:4127;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F72CA2" w:rsidRDefault="00F72CA2">
                              <w:r>
                                <w:rPr>
                                  <w:rFonts w:ascii="Arial" w:hAnsi="Arial" w:cs="Arial"/>
                                  <w:b/>
                                  <w:bCs/>
                                  <w:color w:val="000000"/>
                                  <w:sz w:val="20"/>
                                  <w:szCs w:val="20"/>
                                  <w:lang w:val="en-US"/>
                                </w:rPr>
                                <w:t>5</w:t>
                              </w:r>
                            </w:p>
                          </w:txbxContent>
                        </v:textbox>
                      </v:rect>
                      <v:rect id="Rectangle 16" o:spid="_x0000_s1034" style="position:absolute;left:29718;top:4127;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F72CA2" w:rsidRDefault="00F72CA2">
                              <w:r>
                                <w:rPr>
                                  <w:rFonts w:ascii="Arial" w:hAnsi="Arial" w:cs="Arial"/>
                                  <w:b/>
                                  <w:bCs/>
                                  <w:color w:val="000000"/>
                                  <w:sz w:val="20"/>
                                  <w:szCs w:val="20"/>
                                  <w:lang w:val="en-US"/>
                                </w:rPr>
                                <w:t>6</w:t>
                              </w:r>
                            </w:p>
                          </w:txbxContent>
                        </v:textbox>
                      </v:rect>
                      <v:rect id="Rectangle 17" o:spid="_x0000_s1035" style="position:absolute;left:34569;top:4127;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F72CA2" w:rsidRDefault="00F72CA2">
                              <w:r>
                                <w:rPr>
                                  <w:rFonts w:ascii="Arial" w:hAnsi="Arial" w:cs="Arial"/>
                                  <w:b/>
                                  <w:bCs/>
                                  <w:color w:val="000000"/>
                                  <w:sz w:val="20"/>
                                  <w:szCs w:val="20"/>
                                  <w:lang w:val="en-US"/>
                                </w:rPr>
                                <w:t>7</w:t>
                              </w:r>
                            </w:p>
                          </w:txbxContent>
                        </v:textbox>
                      </v:rect>
                      <v:rect id="Rectangle 18" o:spid="_x0000_s1036" style="position:absolute;left:5435;top:4127;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F72CA2" w:rsidRDefault="00F72CA2">
                              <w:r>
                                <w:rPr>
                                  <w:rFonts w:ascii="Arial" w:hAnsi="Arial" w:cs="Arial"/>
                                  <w:b/>
                                  <w:bCs/>
                                  <w:color w:val="000000"/>
                                  <w:sz w:val="20"/>
                                  <w:szCs w:val="20"/>
                                  <w:lang w:val="en-US"/>
                                </w:rPr>
                                <w:t>1</w:t>
                              </w:r>
                            </w:p>
                          </w:txbxContent>
                        </v:textbox>
                      </v:rect>
                      <v:rect id="Rectangle 19" o:spid="_x0000_s1037" style="position:absolute;left:10293;top:4127;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F72CA2" w:rsidRDefault="00F72CA2">
                              <w:r>
                                <w:rPr>
                                  <w:rFonts w:ascii="Arial" w:hAnsi="Arial" w:cs="Arial"/>
                                  <w:b/>
                                  <w:bCs/>
                                  <w:color w:val="000000"/>
                                  <w:sz w:val="20"/>
                                  <w:szCs w:val="20"/>
                                  <w:lang w:val="en-US"/>
                                </w:rPr>
                                <w:t>2</w:t>
                              </w:r>
                            </w:p>
                          </w:txbxContent>
                        </v:textbox>
                      </v:rect>
                      <v:rect id="Rectangle 20" o:spid="_x0000_s1038" style="position:absolute;left:15151;top:4127;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F72CA2" w:rsidRDefault="00F72CA2">
                              <w:r>
                                <w:rPr>
                                  <w:rFonts w:ascii="Arial" w:hAnsi="Arial" w:cs="Arial"/>
                                  <w:b/>
                                  <w:bCs/>
                                  <w:color w:val="000000"/>
                                  <w:sz w:val="20"/>
                                  <w:szCs w:val="20"/>
                                  <w:lang w:val="en-US"/>
                                </w:rPr>
                                <w:t>3</w:t>
                              </w:r>
                            </w:p>
                          </w:txbxContent>
                        </v:textbox>
                      </v:rect>
                      <v:rect id="Rectangle 21" o:spid="_x0000_s1039" style="position:absolute;left:20002;top:4127;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F72CA2" w:rsidRDefault="00F72CA2">
                              <w:r>
                                <w:rPr>
                                  <w:rFonts w:ascii="Arial" w:hAnsi="Arial" w:cs="Arial"/>
                                  <w:b/>
                                  <w:bCs/>
                                  <w:color w:val="000000"/>
                                  <w:sz w:val="20"/>
                                  <w:szCs w:val="20"/>
                                  <w:lang w:val="en-US"/>
                                </w:rPr>
                                <w:t>4</w:t>
                              </w:r>
                            </w:p>
                          </w:txbxContent>
                        </v:textbox>
                      </v:rect>
                      <v:line id="Line 22" o:spid="_x0000_s1040" style="position:absolute;visibility:visible;mso-wrap-style:square" from="3257,3517" to="3257,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rect id="Rectangle 23" o:spid="_x0000_s1041" style="position:absolute;left:3257;top:3517;width:95;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24" o:spid="_x0000_s1042" style="position:absolute;visibility:visible;mso-wrap-style:square" from="8115,3619" to="8115,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rect id="Rectangle 25" o:spid="_x0000_s1043" style="position:absolute;left:8115;top:3619;width: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6" o:spid="_x0000_s1044" style="position:absolute;visibility:visible;mso-wrap-style:square" from="12966,3619" to="12966,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rect id="Rectangle 27" o:spid="_x0000_s1045" style="position:absolute;left:12966;top:3619;width:1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8" o:spid="_x0000_s1046" style="position:absolute;visibility:visible;mso-wrap-style:square" from="17824,3619" to="17824,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rect id="Rectangle 29" o:spid="_x0000_s1047" style="position:absolute;left:17824;top:3619;width: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30" o:spid="_x0000_s1048" style="position:absolute;visibility:visible;mso-wrap-style:square" from="22682,3619" to="2268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rect id="Rectangle 31" o:spid="_x0000_s1049" style="position:absolute;left:22682;top:3619;width: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2" o:spid="_x0000_s1050" style="position:absolute;visibility:visible;mso-wrap-style:square" from="27533,3619" to="27533,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rect id="Rectangle 33" o:spid="_x0000_s1051" style="position:absolute;left:27533;top:3619;width:1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4" o:spid="_x0000_s1052" style="position:absolute;visibility:visible;mso-wrap-style:square" from="32391,3619" to="32391,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rect id="Rectangle 35" o:spid="_x0000_s1053" style="position:absolute;left:32391;top:3619;width: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6" o:spid="_x0000_s1054" style="position:absolute;visibility:visible;mso-wrap-style:square" from="37249,3619" to="37249,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v:rect id="Rectangle 37" o:spid="_x0000_s1055" style="position:absolute;left:37249;top:3619;width: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8" o:spid="_x0000_s1056" style="position:absolute;visibility:visible;mso-wrap-style:square" from="7251,7486" to="41243,7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rect id="Rectangle 39" o:spid="_x0000_s1057" style="position:absolute;left:3352;top:3517;width:3399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40" o:spid="_x0000_s1058" style="position:absolute;visibility:visible;mso-wrap-style:square" from="3352,6184" to="37344,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rect id="Rectangle 41" o:spid="_x0000_s1059" style="position:absolute;left:3352;top:6184;width:3399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shape id="Freeform 42" o:spid="_x0000_s1060" style="position:absolute;left:3251;top:1155;width:33991;height:648;visibility:visible;mso-wrap-style:square;v-text-anchor:top" coordsize="53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" path="m80,34r5194,l5274,68,80,68r,-34xm95,102l,51,95,r,102xm5258,r95,51l5258,102,5258,xe" fillcolor="gray" strokecolor="gray" strokeweight=".1pt">
                        <v:stroke joinstyle="bevel"/>
                        <v:path arrowok="t" o:connecttype="custom" o:connectlocs="50800,21590;3348990,21590;3348990,43180;50800,43180;50800,21590;60325,64770;0,32385;60325,0;60325,64770;3338830,0;3399155,32385;3338830,64770;3338830,0" o:connectangles="0,0,0,0,0,0,0,0,0,0,0,0,0"/>
                        <o:lock v:ext="edit" verticies="t"/>
                      </v:shape>
                    </v:group>
                  </w:pict>
                </mc:Fallback>
              </mc:AlternateContent>
            </w:r>
          </w:p>
          <w:p w:rsidR="00F72CA2" w:rsidRDefault="00F72CA2"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p>
          <w:p w:rsidR="00F72CA2" w:rsidRDefault="00F72CA2"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p>
          <w:p w:rsidR="00F72CA2" w:rsidRDefault="00F72CA2"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p>
          <w:p w:rsidR="00F72CA2" w:rsidRDefault="00F72CA2"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p>
          <w:p w:rsidR="00695A7C" w:rsidRDefault="00695A7C"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lastRenderedPageBreak/>
              <w:t>Cette échelle numérique s’accompagne d’un texte :</w:t>
            </w:r>
          </w:p>
          <w:p w:rsidR="00D5219B" w:rsidRPr="00D5219B" w:rsidRDefault="00212A09" w:rsidP="00D5219B">
            <w:pPr>
              <w:pStyle w:val="AMFPuceflchebleu"/>
              <w:pBdr>
                <w:top w:val="single" w:sz="4" w:space="1" w:color="auto"/>
                <w:left w:val="single" w:sz="4" w:space="1" w:color="auto"/>
                <w:bottom w:val="single" w:sz="4" w:space="1" w:color="auto"/>
                <w:right w:val="single" w:sz="4" w:space="1" w:color="auto"/>
              </w:pBdr>
              <w:ind w:left="426" w:hanging="426"/>
              <w:rPr>
                <w:rFonts w:asciiTheme="minorHAnsi" w:hAnsiTheme="minorHAnsi" w:cstheme="minorHAnsi"/>
                <w:sz w:val="18"/>
                <w:szCs w:val="18"/>
              </w:rPr>
            </w:pPr>
            <w:r>
              <w:rPr>
                <w:rFonts w:asciiTheme="minorHAnsi" w:hAnsiTheme="minorHAnsi" w:cstheme="minorHAnsi"/>
                <w:sz w:val="18"/>
                <w:szCs w:val="18"/>
              </w:rPr>
              <w:t>E</w:t>
            </w:r>
            <w:r w:rsidR="00D5219B" w:rsidRPr="00D5219B">
              <w:rPr>
                <w:rFonts w:asciiTheme="minorHAnsi" w:hAnsiTheme="minorHAnsi" w:cstheme="minorHAnsi"/>
                <w:sz w:val="18"/>
                <w:szCs w:val="18"/>
              </w:rPr>
              <w:t>xpliquant l’indicateur et ses principales limites :</w:t>
            </w:r>
            <w:bookmarkStart w:id="1" w:name="_GoBack"/>
            <w:bookmarkEnd w:id="1"/>
          </w:p>
          <w:p w:rsidR="00D5219B" w:rsidRPr="00D5219B" w:rsidRDefault="00F72CA2"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Pr>
                <w:rFonts w:asciiTheme="minorHAnsi" w:hAnsiTheme="minorHAnsi" w:cstheme="minorHAnsi"/>
                <w:sz w:val="18"/>
                <w:szCs w:val="18"/>
              </w:rPr>
              <w:t>- expliquer pourquoi le FCPR</w:t>
            </w:r>
            <w:r w:rsidR="00D5219B" w:rsidRPr="00D5219B">
              <w:rPr>
                <w:rFonts w:asciiTheme="minorHAnsi" w:hAnsiTheme="minorHAnsi" w:cstheme="minorHAnsi"/>
                <w:sz w:val="18"/>
                <w:szCs w:val="18"/>
              </w:rPr>
              <w:t xml:space="preserve"> est dans une catégorie spécifique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préciser les détails sur la nature, la durée et l’étendue des potentielles garanties ou protection du capital.</w:t>
            </w:r>
          </w:p>
          <w:p w:rsidR="00D5219B" w:rsidRPr="00D5219B" w:rsidRDefault="00212A09" w:rsidP="00D5219B">
            <w:pPr>
              <w:pStyle w:val="AMFPuceflchebleu"/>
              <w:pBdr>
                <w:top w:val="single" w:sz="4" w:space="1" w:color="auto"/>
                <w:left w:val="single" w:sz="4" w:space="1" w:color="auto"/>
                <w:bottom w:val="single" w:sz="4" w:space="1" w:color="auto"/>
                <w:right w:val="single" w:sz="4" w:space="1" w:color="auto"/>
              </w:pBdr>
              <w:ind w:left="426" w:hanging="426"/>
              <w:rPr>
                <w:rFonts w:asciiTheme="minorHAnsi" w:hAnsiTheme="minorHAnsi" w:cstheme="minorHAnsi"/>
                <w:sz w:val="18"/>
                <w:szCs w:val="18"/>
              </w:rPr>
            </w:pPr>
            <w:r>
              <w:rPr>
                <w:rFonts w:asciiTheme="minorHAnsi" w:hAnsiTheme="minorHAnsi" w:cstheme="minorHAnsi"/>
                <w:sz w:val="18"/>
                <w:szCs w:val="18"/>
              </w:rPr>
              <w:t>D</w:t>
            </w:r>
            <w:r w:rsidR="00D5219B" w:rsidRPr="00D5219B">
              <w:rPr>
                <w:rFonts w:asciiTheme="minorHAnsi" w:hAnsiTheme="minorHAnsi" w:cstheme="minorHAnsi"/>
                <w:sz w:val="18"/>
                <w:szCs w:val="18"/>
              </w:rPr>
              <w:t xml:space="preserve">étaillant les risques importants pour </w:t>
            </w:r>
            <w:r w:rsidR="00F72CA2">
              <w:rPr>
                <w:rFonts w:asciiTheme="minorHAnsi" w:hAnsiTheme="minorHAnsi" w:cstheme="minorHAnsi"/>
                <w:sz w:val="18"/>
                <w:szCs w:val="18"/>
              </w:rPr>
              <w:t>le FCPR</w:t>
            </w:r>
            <w:r w:rsidR="00D5219B" w:rsidRPr="00D5219B">
              <w:rPr>
                <w:rFonts w:asciiTheme="minorHAnsi" w:hAnsiTheme="minorHAnsi" w:cstheme="minorHAnsi"/>
                <w:sz w:val="18"/>
                <w:szCs w:val="18"/>
              </w:rPr>
              <w:t xml:space="preserve"> non pris en compte dans cet indicateur.</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risque de crédit, quand une part non négligeable de l’investissement est réalisée sur des titres de créances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risque de liquidité, quand une part non négligeable de l’investissement est réalisée dans des actifs pouvant présenter une faible liquidité selon certaines circonstances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risque de contrepartie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xml:space="preserve">- risque opérationnel ;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r w:rsidRPr="00D5219B">
              <w:rPr>
                <w:rFonts w:asciiTheme="minorHAnsi" w:hAnsiTheme="minorHAnsi" w:cstheme="minorHAnsi"/>
                <w:color w:val="000000"/>
                <w:sz w:val="18"/>
                <w:szCs w:val="18"/>
              </w:rPr>
              <w:t>- l’impact des techniques financières telles que des produits dérivés</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b/>
                <w:color w:val="000000"/>
                <w:sz w:val="18"/>
                <w:szCs w:val="18"/>
              </w:rPr>
            </w:pP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b/>
                <w:bCs/>
                <w:iCs/>
                <w:sz w:val="18"/>
                <w:szCs w:val="18"/>
              </w:rPr>
              <w:t xml:space="preserve">Frais : </w:t>
            </w:r>
          </w:p>
          <w:p w:rsidR="00D5219B" w:rsidRDefault="00212A09"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Pr>
                <w:rFonts w:asciiTheme="minorHAnsi" w:hAnsiTheme="minorHAnsi" w:cstheme="minorHAnsi"/>
                <w:sz w:val="18"/>
                <w:szCs w:val="18"/>
              </w:rPr>
              <w:t>L</w:t>
            </w:r>
            <w:r w:rsidR="00D5219B" w:rsidRPr="00D5219B">
              <w:rPr>
                <w:rFonts w:asciiTheme="minorHAnsi" w:hAnsiTheme="minorHAnsi" w:cstheme="minorHAnsi"/>
                <w:sz w:val="18"/>
                <w:szCs w:val="18"/>
              </w:rPr>
              <w:t>es frais et commissions acquittés servent à couvrir le</w:t>
            </w:r>
            <w:r w:rsidR="00F72CA2">
              <w:rPr>
                <w:rFonts w:asciiTheme="minorHAnsi" w:hAnsiTheme="minorHAnsi" w:cstheme="minorHAnsi"/>
                <w:sz w:val="18"/>
                <w:szCs w:val="18"/>
              </w:rPr>
              <w:t>s coûts d’exploitation du FCPR</w:t>
            </w:r>
            <w:r w:rsidR="00D5219B" w:rsidRPr="00D5219B">
              <w:rPr>
                <w:rFonts w:asciiTheme="minorHAnsi" w:hAnsiTheme="minorHAnsi" w:cstheme="minorHAnsi"/>
                <w:sz w:val="18"/>
                <w:szCs w:val="18"/>
              </w:rPr>
              <w:t xml:space="preserve"> y compris les coûts de commercialisation et de distribution des parts, ces frais réduisent la croissance potentielle des investissements. </w:t>
            </w:r>
          </w:p>
          <w:p w:rsidR="00F72CA2" w:rsidRDefault="00F72CA2"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p>
          <w:p w:rsidR="00F72CA2" w:rsidRDefault="00F72CA2"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r w:rsidRPr="00F72CA2">
              <w:rPr>
                <w:rFonts w:asciiTheme="minorHAnsi" w:hAnsiTheme="minorHAnsi" w:cstheme="minorHAnsi"/>
                <w:b/>
                <w:bCs/>
                <w:iCs/>
                <w:sz w:val="18"/>
                <w:szCs w:val="18"/>
              </w:rPr>
              <w:t>1.</w:t>
            </w:r>
            <w:r w:rsidRPr="00F72CA2">
              <w:rPr>
                <w:rFonts w:asciiTheme="minorHAnsi" w:hAnsiTheme="minorHAnsi" w:cstheme="minorHAnsi"/>
                <w:b/>
                <w:bCs/>
                <w:iCs/>
                <w:sz w:val="18"/>
                <w:szCs w:val="18"/>
              </w:rPr>
              <w:tab/>
              <w:t>Répartition des taux de frais annuels moyens (TFAM) maximaux gestionnaire et distributeur par catégorie agrégée de frais</w:t>
            </w:r>
          </w:p>
          <w:p w:rsidR="00F72CA2" w:rsidRDefault="00F72CA2"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r>
              <w:rPr>
                <w:rFonts w:asciiTheme="minorHAnsi" w:hAnsiTheme="minorHAnsi" w:cstheme="minorHAnsi"/>
                <w:b/>
                <w:bCs/>
                <w:iCs/>
                <w:sz w:val="18"/>
                <w:szCs w:val="18"/>
              </w:rPr>
              <w:t xml:space="preserve"> </w:t>
            </w:r>
          </w:p>
          <w:tbl>
            <w:tblPr>
              <w:tblStyle w:val="Grilledutableau"/>
              <w:tblW w:w="0" w:type="auto"/>
              <w:tblLook w:val="04A0" w:firstRow="1" w:lastRow="0" w:firstColumn="1" w:lastColumn="0" w:noHBand="0" w:noVBand="1"/>
            </w:tblPr>
            <w:tblGrid>
              <w:gridCol w:w="3001"/>
              <w:gridCol w:w="3001"/>
              <w:gridCol w:w="3001"/>
            </w:tblGrid>
            <w:tr w:rsidR="00B90E90" w:rsidTr="00750E69">
              <w:tc>
                <w:tcPr>
                  <w:tcW w:w="3001" w:type="dxa"/>
                  <w:vMerge w:val="restart"/>
                </w:tcPr>
                <w:p w:rsidR="00B90E90" w:rsidRDefault="00B90E90"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r>
                    <w:rPr>
                      <w:rFonts w:asciiTheme="minorHAnsi" w:hAnsiTheme="minorHAnsi" w:cstheme="minorHAnsi"/>
                      <w:b/>
                      <w:bCs/>
                      <w:iCs/>
                      <w:sz w:val="18"/>
                      <w:szCs w:val="18"/>
                    </w:rPr>
                    <w:t>Catégorie agrégée de frais</w:t>
                  </w:r>
                </w:p>
              </w:tc>
              <w:tc>
                <w:tcPr>
                  <w:tcW w:w="6002" w:type="dxa"/>
                  <w:gridSpan w:val="2"/>
                </w:tcPr>
                <w:p w:rsidR="00B90E90" w:rsidRDefault="00B90E90"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r>
                    <w:rPr>
                      <w:rFonts w:asciiTheme="minorHAnsi" w:hAnsiTheme="minorHAnsi" w:cstheme="minorHAnsi"/>
                      <w:b/>
                      <w:bCs/>
                      <w:iCs/>
                      <w:sz w:val="18"/>
                      <w:szCs w:val="18"/>
                    </w:rPr>
                    <w:t>Taux maximaux de frais annuels moyens (TFAM maximum)</w:t>
                  </w:r>
                </w:p>
              </w:tc>
            </w:tr>
            <w:tr w:rsidR="00B90E90" w:rsidTr="00F72CA2">
              <w:tc>
                <w:tcPr>
                  <w:tcW w:w="3001" w:type="dxa"/>
                  <w:vMerge/>
                </w:tcPr>
                <w:p w:rsidR="00B90E90" w:rsidRPr="00F72CA2" w:rsidRDefault="00B90E90" w:rsidP="00F72CA2">
                  <w:pPr>
                    <w:overflowPunct w:val="0"/>
                    <w:autoSpaceDE w:val="0"/>
                    <w:autoSpaceDN w:val="0"/>
                    <w:adjustRightInd w:val="0"/>
                    <w:spacing w:line="240" w:lineRule="atLeast"/>
                    <w:textAlignment w:val="baseline"/>
                    <w:rPr>
                      <w:rFonts w:asciiTheme="minorHAnsi" w:hAnsiTheme="minorHAnsi" w:cstheme="minorHAnsi"/>
                      <w:bCs/>
                      <w:iCs/>
                      <w:sz w:val="18"/>
                      <w:szCs w:val="18"/>
                    </w:rPr>
                  </w:pPr>
                </w:p>
              </w:tc>
              <w:tc>
                <w:tcPr>
                  <w:tcW w:w="3001" w:type="dxa"/>
                </w:tcPr>
                <w:p w:rsidR="00B90E90" w:rsidRDefault="00B90E90"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r w:rsidRPr="00B90E90">
                    <w:rPr>
                      <w:rFonts w:asciiTheme="minorHAnsi" w:hAnsiTheme="minorHAnsi" w:cstheme="minorHAnsi"/>
                      <w:b/>
                      <w:bCs/>
                      <w:iCs/>
                      <w:sz w:val="18"/>
                      <w:szCs w:val="18"/>
                    </w:rPr>
                    <w:t>TFAM gestionnaire et distributeur maximum</w:t>
                  </w:r>
                </w:p>
              </w:tc>
              <w:tc>
                <w:tcPr>
                  <w:tcW w:w="3001" w:type="dxa"/>
                </w:tcPr>
                <w:p w:rsidR="00B90E90" w:rsidRDefault="00B90E90"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r w:rsidRPr="00B90E90">
                    <w:rPr>
                      <w:rFonts w:asciiTheme="minorHAnsi" w:hAnsiTheme="minorHAnsi" w:cstheme="minorHAnsi"/>
                      <w:b/>
                      <w:bCs/>
                      <w:iCs/>
                      <w:sz w:val="18"/>
                      <w:szCs w:val="18"/>
                    </w:rPr>
                    <w:t>dont TFAM distributeur maximum</w:t>
                  </w:r>
                </w:p>
              </w:tc>
            </w:tr>
            <w:tr w:rsidR="00F72CA2" w:rsidTr="00F72CA2">
              <w:tc>
                <w:tcPr>
                  <w:tcW w:w="3001" w:type="dxa"/>
                </w:tcPr>
                <w:p w:rsidR="00F72CA2" w:rsidRPr="00F72CA2" w:rsidRDefault="00F72CA2" w:rsidP="00F72CA2">
                  <w:pPr>
                    <w:overflowPunct w:val="0"/>
                    <w:autoSpaceDE w:val="0"/>
                    <w:autoSpaceDN w:val="0"/>
                    <w:adjustRightInd w:val="0"/>
                    <w:spacing w:line="240" w:lineRule="atLeast"/>
                    <w:textAlignment w:val="baseline"/>
                    <w:rPr>
                      <w:rFonts w:asciiTheme="minorHAnsi" w:hAnsiTheme="minorHAnsi" w:cstheme="minorHAnsi"/>
                      <w:bCs/>
                      <w:iCs/>
                      <w:sz w:val="18"/>
                      <w:szCs w:val="18"/>
                    </w:rPr>
                  </w:pPr>
                  <w:r w:rsidRPr="00F72CA2">
                    <w:rPr>
                      <w:rFonts w:asciiTheme="minorHAnsi" w:hAnsiTheme="minorHAnsi" w:cstheme="minorHAnsi"/>
                      <w:bCs/>
                      <w:iCs/>
                      <w:sz w:val="18"/>
                      <w:szCs w:val="18"/>
                    </w:rPr>
                    <w:t>Droits d'entrée et de sortie</w:t>
                  </w:r>
                </w:p>
              </w:tc>
              <w:tc>
                <w:tcPr>
                  <w:tcW w:w="3001" w:type="dxa"/>
                </w:tcPr>
                <w:p w:rsidR="00F72CA2" w:rsidRDefault="00F72CA2"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p>
              </w:tc>
              <w:tc>
                <w:tcPr>
                  <w:tcW w:w="3001" w:type="dxa"/>
                </w:tcPr>
                <w:p w:rsidR="00F72CA2" w:rsidRDefault="00F72CA2"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p>
              </w:tc>
            </w:tr>
            <w:tr w:rsidR="00F72CA2" w:rsidTr="00F72CA2">
              <w:tc>
                <w:tcPr>
                  <w:tcW w:w="3001" w:type="dxa"/>
                </w:tcPr>
                <w:p w:rsidR="00F72CA2" w:rsidRPr="00F72CA2" w:rsidRDefault="00F72CA2" w:rsidP="00F72CA2">
                  <w:pPr>
                    <w:overflowPunct w:val="0"/>
                    <w:autoSpaceDE w:val="0"/>
                    <w:autoSpaceDN w:val="0"/>
                    <w:adjustRightInd w:val="0"/>
                    <w:spacing w:line="240" w:lineRule="atLeast"/>
                    <w:textAlignment w:val="baseline"/>
                    <w:rPr>
                      <w:rFonts w:asciiTheme="minorHAnsi" w:hAnsiTheme="minorHAnsi" w:cstheme="minorHAnsi"/>
                      <w:bCs/>
                      <w:iCs/>
                      <w:sz w:val="18"/>
                      <w:szCs w:val="18"/>
                    </w:rPr>
                  </w:pPr>
                  <w:r w:rsidRPr="00F72CA2">
                    <w:rPr>
                      <w:rFonts w:asciiTheme="minorHAnsi" w:hAnsiTheme="minorHAnsi" w:cstheme="minorHAnsi"/>
                      <w:bCs/>
                      <w:iCs/>
                      <w:sz w:val="18"/>
                      <w:szCs w:val="18"/>
                    </w:rPr>
                    <w:t>Frais récurrents de gestion et de fonctionnement</w:t>
                  </w:r>
                </w:p>
              </w:tc>
              <w:tc>
                <w:tcPr>
                  <w:tcW w:w="3001" w:type="dxa"/>
                </w:tcPr>
                <w:p w:rsidR="00F72CA2" w:rsidRDefault="00F72CA2"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p>
              </w:tc>
              <w:tc>
                <w:tcPr>
                  <w:tcW w:w="3001" w:type="dxa"/>
                </w:tcPr>
                <w:p w:rsidR="00F72CA2" w:rsidRDefault="00F72CA2"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p>
              </w:tc>
            </w:tr>
            <w:tr w:rsidR="00F72CA2" w:rsidTr="00F72CA2">
              <w:tc>
                <w:tcPr>
                  <w:tcW w:w="3001" w:type="dxa"/>
                </w:tcPr>
                <w:p w:rsidR="00F72CA2" w:rsidRPr="00F72CA2" w:rsidRDefault="00F72CA2" w:rsidP="00F72CA2">
                  <w:pPr>
                    <w:overflowPunct w:val="0"/>
                    <w:autoSpaceDE w:val="0"/>
                    <w:autoSpaceDN w:val="0"/>
                    <w:adjustRightInd w:val="0"/>
                    <w:spacing w:line="240" w:lineRule="atLeast"/>
                    <w:textAlignment w:val="baseline"/>
                    <w:rPr>
                      <w:rFonts w:asciiTheme="minorHAnsi" w:hAnsiTheme="minorHAnsi" w:cstheme="minorHAnsi"/>
                      <w:bCs/>
                      <w:iCs/>
                      <w:sz w:val="18"/>
                      <w:szCs w:val="18"/>
                    </w:rPr>
                  </w:pPr>
                  <w:r w:rsidRPr="00F72CA2">
                    <w:rPr>
                      <w:rFonts w:asciiTheme="minorHAnsi" w:hAnsiTheme="minorHAnsi" w:cstheme="minorHAnsi"/>
                      <w:bCs/>
                      <w:iCs/>
                      <w:sz w:val="18"/>
                      <w:szCs w:val="18"/>
                    </w:rPr>
                    <w:t>Frais de constitution</w:t>
                  </w:r>
                </w:p>
              </w:tc>
              <w:tc>
                <w:tcPr>
                  <w:tcW w:w="3001" w:type="dxa"/>
                </w:tcPr>
                <w:p w:rsidR="00F72CA2" w:rsidRDefault="00F72CA2"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p>
              </w:tc>
              <w:tc>
                <w:tcPr>
                  <w:tcW w:w="3001" w:type="dxa"/>
                </w:tcPr>
                <w:p w:rsidR="00F72CA2" w:rsidRDefault="00F72CA2"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p>
              </w:tc>
            </w:tr>
            <w:tr w:rsidR="00F72CA2" w:rsidTr="00F72CA2">
              <w:tc>
                <w:tcPr>
                  <w:tcW w:w="3001" w:type="dxa"/>
                </w:tcPr>
                <w:p w:rsidR="00F72CA2" w:rsidRPr="00F72CA2" w:rsidRDefault="00F72CA2" w:rsidP="00F72CA2">
                  <w:pPr>
                    <w:overflowPunct w:val="0"/>
                    <w:autoSpaceDE w:val="0"/>
                    <w:autoSpaceDN w:val="0"/>
                    <w:adjustRightInd w:val="0"/>
                    <w:spacing w:line="240" w:lineRule="atLeast"/>
                    <w:textAlignment w:val="baseline"/>
                    <w:rPr>
                      <w:rFonts w:asciiTheme="minorHAnsi" w:hAnsiTheme="minorHAnsi" w:cstheme="minorHAnsi"/>
                      <w:bCs/>
                      <w:iCs/>
                      <w:sz w:val="18"/>
                      <w:szCs w:val="18"/>
                    </w:rPr>
                  </w:pPr>
                  <w:r w:rsidRPr="00F72CA2">
                    <w:rPr>
                      <w:rFonts w:asciiTheme="minorHAnsi" w:hAnsiTheme="minorHAnsi" w:cstheme="minorHAnsi"/>
                      <w:bCs/>
                      <w:iCs/>
                      <w:sz w:val="18"/>
                      <w:szCs w:val="18"/>
                    </w:rPr>
                    <w:t>Frais de fonctionnement non récurrents liés à l'acquisition, au suivi et la cession des participations</w:t>
                  </w:r>
                </w:p>
              </w:tc>
              <w:tc>
                <w:tcPr>
                  <w:tcW w:w="3001" w:type="dxa"/>
                </w:tcPr>
                <w:p w:rsidR="00F72CA2" w:rsidRDefault="00F72CA2"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p>
              </w:tc>
              <w:tc>
                <w:tcPr>
                  <w:tcW w:w="3001" w:type="dxa"/>
                </w:tcPr>
                <w:p w:rsidR="00F72CA2" w:rsidRDefault="00F72CA2"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p>
              </w:tc>
            </w:tr>
            <w:tr w:rsidR="00F72CA2" w:rsidTr="00B90E90">
              <w:tc>
                <w:tcPr>
                  <w:tcW w:w="3001" w:type="dxa"/>
                </w:tcPr>
                <w:p w:rsidR="00F72CA2" w:rsidRPr="00F72CA2" w:rsidRDefault="00F72CA2" w:rsidP="00F72CA2">
                  <w:pPr>
                    <w:tabs>
                      <w:tab w:val="left" w:pos="2078"/>
                    </w:tabs>
                    <w:overflowPunct w:val="0"/>
                    <w:autoSpaceDE w:val="0"/>
                    <w:autoSpaceDN w:val="0"/>
                    <w:adjustRightInd w:val="0"/>
                    <w:spacing w:line="240" w:lineRule="atLeast"/>
                    <w:textAlignment w:val="baseline"/>
                    <w:rPr>
                      <w:rFonts w:asciiTheme="minorHAnsi" w:hAnsiTheme="minorHAnsi" w:cstheme="minorHAnsi"/>
                      <w:bCs/>
                      <w:iCs/>
                      <w:sz w:val="18"/>
                      <w:szCs w:val="18"/>
                    </w:rPr>
                  </w:pPr>
                  <w:r w:rsidRPr="00F72CA2">
                    <w:rPr>
                      <w:rFonts w:asciiTheme="minorHAnsi" w:hAnsiTheme="minorHAnsi" w:cstheme="minorHAnsi"/>
                      <w:bCs/>
                      <w:iCs/>
                      <w:sz w:val="18"/>
                      <w:szCs w:val="18"/>
                    </w:rPr>
                    <w:t>Frais de gestion indirects</w:t>
                  </w:r>
                </w:p>
              </w:tc>
              <w:tc>
                <w:tcPr>
                  <w:tcW w:w="3001" w:type="dxa"/>
                  <w:tcBorders>
                    <w:bottom w:val="single" w:sz="12" w:space="0" w:color="auto"/>
                  </w:tcBorders>
                </w:tcPr>
                <w:p w:rsidR="00F72CA2" w:rsidRDefault="00F72CA2"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p>
              </w:tc>
              <w:tc>
                <w:tcPr>
                  <w:tcW w:w="3001" w:type="dxa"/>
                  <w:tcBorders>
                    <w:bottom w:val="single" w:sz="12" w:space="0" w:color="auto"/>
                  </w:tcBorders>
                </w:tcPr>
                <w:p w:rsidR="00F72CA2" w:rsidRDefault="00F72CA2"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p>
              </w:tc>
            </w:tr>
            <w:tr w:rsidR="00F72CA2" w:rsidTr="00B90E90">
              <w:tc>
                <w:tcPr>
                  <w:tcW w:w="3001" w:type="dxa"/>
                  <w:tcBorders>
                    <w:right w:val="single" w:sz="12" w:space="0" w:color="auto"/>
                  </w:tcBorders>
                </w:tcPr>
                <w:p w:rsidR="00F72CA2" w:rsidRDefault="00F72CA2" w:rsidP="00D5219B">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r>
                    <w:rPr>
                      <w:rFonts w:asciiTheme="minorHAnsi" w:hAnsiTheme="minorHAnsi" w:cstheme="minorHAnsi"/>
                      <w:b/>
                      <w:bCs/>
                      <w:iCs/>
                      <w:sz w:val="18"/>
                      <w:szCs w:val="18"/>
                    </w:rPr>
                    <w:t>Total</w:t>
                  </w:r>
                </w:p>
              </w:tc>
              <w:tc>
                <w:tcPr>
                  <w:tcW w:w="3001" w:type="dxa"/>
                  <w:tcBorders>
                    <w:top w:val="single" w:sz="12" w:space="0" w:color="auto"/>
                    <w:left w:val="single" w:sz="12" w:space="0" w:color="auto"/>
                    <w:right w:val="single" w:sz="12" w:space="0" w:color="auto"/>
                  </w:tcBorders>
                </w:tcPr>
                <w:p w:rsidR="00B90E90" w:rsidRPr="00B90E90" w:rsidRDefault="00B90E90" w:rsidP="00B90E90">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r w:rsidRPr="00B90E90">
                    <w:rPr>
                      <w:rFonts w:asciiTheme="minorHAnsi" w:hAnsiTheme="minorHAnsi" w:cstheme="minorHAnsi"/>
                      <w:b/>
                      <w:bCs/>
                      <w:iCs/>
                      <w:sz w:val="18"/>
                      <w:szCs w:val="18"/>
                    </w:rPr>
                    <w:t>[ … ]</w:t>
                  </w:r>
                </w:p>
                <w:p w:rsidR="00F72CA2" w:rsidRDefault="00B90E90" w:rsidP="00B90E90">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r w:rsidRPr="00B90E90">
                    <w:rPr>
                      <w:rFonts w:asciiTheme="minorHAnsi" w:hAnsiTheme="minorHAnsi" w:cstheme="minorHAnsi"/>
                      <w:b/>
                      <w:bCs/>
                      <w:iCs/>
                      <w:sz w:val="18"/>
                      <w:szCs w:val="18"/>
                    </w:rPr>
                    <w:t>=valeur du TFAM-GD maximal</w:t>
                  </w:r>
                </w:p>
              </w:tc>
              <w:tc>
                <w:tcPr>
                  <w:tcW w:w="3001" w:type="dxa"/>
                  <w:tcBorders>
                    <w:top w:val="single" w:sz="12" w:space="0" w:color="auto"/>
                    <w:left w:val="single" w:sz="12" w:space="0" w:color="auto"/>
                    <w:right w:val="single" w:sz="12" w:space="0" w:color="auto"/>
                  </w:tcBorders>
                </w:tcPr>
                <w:p w:rsidR="00B90E90" w:rsidRPr="00B90E90" w:rsidRDefault="00B90E90" w:rsidP="00B90E90">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r w:rsidRPr="00B90E90">
                    <w:rPr>
                      <w:rFonts w:asciiTheme="minorHAnsi" w:hAnsiTheme="minorHAnsi" w:cstheme="minorHAnsi"/>
                      <w:b/>
                      <w:bCs/>
                      <w:iCs/>
                      <w:sz w:val="18"/>
                      <w:szCs w:val="18"/>
                    </w:rPr>
                    <w:t>[ … ]</w:t>
                  </w:r>
                </w:p>
                <w:p w:rsidR="00B90E90" w:rsidRPr="00B90E90" w:rsidRDefault="00B90E90" w:rsidP="00B90E90">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r w:rsidRPr="00B90E90">
                    <w:rPr>
                      <w:rFonts w:asciiTheme="minorHAnsi" w:hAnsiTheme="minorHAnsi" w:cstheme="minorHAnsi"/>
                      <w:b/>
                      <w:bCs/>
                      <w:iCs/>
                      <w:sz w:val="18"/>
                      <w:szCs w:val="18"/>
                    </w:rPr>
                    <w:t xml:space="preserve">=valeur du TFAM-D </w:t>
                  </w:r>
                </w:p>
                <w:p w:rsidR="00F72CA2" w:rsidRDefault="00B90E90" w:rsidP="00B90E90">
                  <w:pP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r w:rsidRPr="00B90E90">
                    <w:rPr>
                      <w:rFonts w:asciiTheme="minorHAnsi" w:hAnsiTheme="minorHAnsi" w:cstheme="minorHAnsi"/>
                      <w:b/>
                      <w:bCs/>
                      <w:iCs/>
                      <w:sz w:val="18"/>
                      <w:szCs w:val="18"/>
                    </w:rPr>
                    <w:t>maximal</w:t>
                  </w:r>
                </w:p>
              </w:tc>
            </w:tr>
          </w:tbl>
          <w:p w:rsidR="00186577" w:rsidRPr="00186577" w:rsidRDefault="00186577" w:rsidP="00186577">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bCs/>
                <w:iCs/>
                <w:sz w:val="18"/>
                <w:szCs w:val="18"/>
              </w:rPr>
            </w:pPr>
            <w:r w:rsidRPr="00186577">
              <w:rPr>
                <w:rFonts w:asciiTheme="minorHAnsi" w:hAnsiTheme="minorHAnsi" w:cstheme="minorHAnsi"/>
                <w:bCs/>
                <w:iCs/>
                <w:sz w:val="18"/>
                <w:szCs w:val="18"/>
              </w:rPr>
              <w:t>Précision sur la description des frais</w:t>
            </w:r>
          </w:p>
          <w:p w:rsidR="00F72CA2" w:rsidRDefault="00186577" w:rsidP="00186577">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bCs/>
                <w:iCs/>
                <w:sz w:val="18"/>
                <w:szCs w:val="18"/>
              </w:rPr>
            </w:pPr>
            <w:r w:rsidRPr="00186577">
              <w:rPr>
                <w:rFonts w:asciiTheme="minorHAnsi" w:hAnsiTheme="minorHAnsi" w:cstheme="minorHAnsi"/>
                <w:bCs/>
                <w:iCs/>
                <w:sz w:val="18"/>
                <w:szCs w:val="18"/>
              </w:rPr>
              <w:t>Pour plus d’information sur les frais, veuillez-vous référer aux pages X à Y du règlement de ce FCPR, disponible sur le site internet www.</w:t>
            </w:r>
          </w:p>
          <w:p w:rsidR="00186577" w:rsidRDefault="00186577" w:rsidP="00186577">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bCs/>
                <w:iCs/>
                <w:sz w:val="18"/>
                <w:szCs w:val="18"/>
              </w:rPr>
            </w:pPr>
          </w:p>
          <w:p w:rsidR="00186577" w:rsidRDefault="00186577" w:rsidP="00186577">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r w:rsidRPr="00186577">
              <w:rPr>
                <w:rFonts w:asciiTheme="minorHAnsi" w:hAnsiTheme="minorHAnsi" w:cstheme="minorHAnsi"/>
                <w:b/>
                <w:bCs/>
                <w:iCs/>
                <w:sz w:val="18"/>
                <w:szCs w:val="18"/>
              </w:rPr>
              <w:t xml:space="preserve">1.1 </w:t>
            </w:r>
            <w:r w:rsidRPr="00186577">
              <w:rPr>
                <w:rFonts w:asciiTheme="minorHAnsi" w:hAnsiTheme="minorHAnsi" w:cstheme="minorHAnsi"/>
                <w:b/>
                <w:bCs/>
                <w:iCs/>
                <w:sz w:val="18"/>
                <w:szCs w:val="18"/>
              </w:rPr>
              <w:tab/>
              <w:t xml:space="preserve">Modalités spécifiques de partage de la plus-value (« </w:t>
            </w:r>
            <w:proofErr w:type="spellStart"/>
            <w:r w:rsidRPr="00186577">
              <w:rPr>
                <w:rFonts w:asciiTheme="minorHAnsi" w:hAnsiTheme="minorHAnsi" w:cstheme="minorHAnsi"/>
                <w:b/>
                <w:bCs/>
                <w:iCs/>
                <w:sz w:val="18"/>
                <w:szCs w:val="18"/>
              </w:rPr>
              <w:t>carried</w:t>
            </w:r>
            <w:proofErr w:type="spellEnd"/>
            <w:r w:rsidRPr="00186577">
              <w:rPr>
                <w:rFonts w:asciiTheme="minorHAnsi" w:hAnsiTheme="minorHAnsi" w:cstheme="minorHAnsi"/>
                <w:b/>
                <w:bCs/>
                <w:iCs/>
                <w:sz w:val="18"/>
                <w:szCs w:val="18"/>
              </w:rPr>
              <w:t xml:space="preserve"> </w:t>
            </w:r>
            <w:proofErr w:type="spellStart"/>
            <w:r w:rsidRPr="00186577">
              <w:rPr>
                <w:rFonts w:asciiTheme="minorHAnsi" w:hAnsiTheme="minorHAnsi" w:cstheme="minorHAnsi"/>
                <w:b/>
                <w:bCs/>
                <w:iCs/>
                <w:sz w:val="18"/>
                <w:szCs w:val="18"/>
              </w:rPr>
              <w:t>interest</w:t>
            </w:r>
            <w:proofErr w:type="spellEnd"/>
            <w:r w:rsidRPr="00186577">
              <w:rPr>
                <w:rFonts w:asciiTheme="minorHAnsi" w:hAnsiTheme="minorHAnsi" w:cstheme="minorHAnsi"/>
                <w:b/>
                <w:bCs/>
                <w:iCs/>
                <w:sz w:val="18"/>
                <w:szCs w:val="18"/>
              </w:rPr>
              <w:t xml:space="preserve"> »)</w:t>
            </w:r>
          </w:p>
          <w:p w:rsidR="00186577" w:rsidRPr="00186577" w:rsidRDefault="00186577" w:rsidP="00186577">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b/>
                <w:bCs/>
                <w:iCs/>
                <w:sz w:val="18"/>
                <w:szCs w:val="18"/>
              </w:rPr>
            </w:pPr>
          </w:p>
          <w:tbl>
            <w:tblPr>
              <w:tblStyle w:val="Grilledutableau"/>
              <w:tblW w:w="0" w:type="auto"/>
              <w:tblLook w:val="04A0" w:firstRow="1" w:lastRow="0" w:firstColumn="1" w:lastColumn="0" w:noHBand="0" w:noVBand="1"/>
            </w:tblPr>
            <w:tblGrid>
              <w:gridCol w:w="3001"/>
              <w:gridCol w:w="3001"/>
              <w:gridCol w:w="3001"/>
            </w:tblGrid>
            <w:tr w:rsidR="00186577" w:rsidTr="00186577">
              <w:tc>
                <w:tcPr>
                  <w:tcW w:w="3001" w:type="dxa"/>
                </w:tcPr>
                <w:p w:rsidR="00186577" w:rsidRPr="00186577" w:rsidRDefault="00186577" w:rsidP="00D5219B">
                  <w:pPr>
                    <w:overflowPunct w:val="0"/>
                    <w:autoSpaceDE w:val="0"/>
                    <w:autoSpaceDN w:val="0"/>
                    <w:adjustRightInd w:val="0"/>
                    <w:spacing w:line="240" w:lineRule="atLeast"/>
                    <w:jc w:val="both"/>
                    <w:textAlignment w:val="baseline"/>
                    <w:rPr>
                      <w:rFonts w:asciiTheme="minorHAnsi" w:hAnsiTheme="minorHAnsi" w:cstheme="minorHAnsi"/>
                      <w:b/>
                      <w:color w:val="000000"/>
                      <w:sz w:val="18"/>
                      <w:szCs w:val="18"/>
                    </w:rPr>
                  </w:pPr>
                  <w:r w:rsidRPr="00186577">
                    <w:rPr>
                      <w:rFonts w:asciiTheme="minorHAnsi" w:hAnsiTheme="minorHAnsi" w:cstheme="minorHAnsi"/>
                      <w:b/>
                      <w:color w:val="000000"/>
                      <w:sz w:val="18"/>
                      <w:szCs w:val="18"/>
                    </w:rPr>
                    <w:t xml:space="preserve">Description des principales règles de partage de la plus-value (« </w:t>
                  </w:r>
                  <w:proofErr w:type="spellStart"/>
                  <w:r w:rsidRPr="00186577">
                    <w:rPr>
                      <w:rFonts w:asciiTheme="minorHAnsi" w:hAnsiTheme="minorHAnsi" w:cstheme="minorHAnsi"/>
                      <w:b/>
                      <w:color w:val="000000"/>
                      <w:sz w:val="18"/>
                      <w:szCs w:val="18"/>
                    </w:rPr>
                    <w:t>carried</w:t>
                  </w:r>
                  <w:proofErr w:type="spellEnd"/>
                  <w:r w:rsidRPr="00186577">
                    <w:rPr>
                      <w:rFonts w:asciiTheme="minorHAnsi" w:hAnsiTheme="minorHAnsi" w:cstheme="minorHAnsi"/>
                      <w:b/>
                      <w:color w:val="000000"/>
                      <w:sz w:val="18"/>
                      <w:szCs w:val="18"/>
                    </w:rPr>
                    <w:t xml:space="preserve"> </w:t>
                  </w:r>
                  <w:proofErr w:type="spellStart"/>
                  <w:r w:rsidRPr="00186577">
                    <w:rPr>
                      <w:rFonts w:asciiTheme="minorHAnsi" w:hAnsiTheme="minorHAnsi" w:cstheme="minorHAnsi"/>
                      <w:b/>
                      <w:color w:val="000000"/>
                      <w:sz w:val="18"/>
                      <w:szCs w:val="18"/>
                    </w:rPr>
                    <w:t>interest</w:t>
                  </w:r>
                  <w:proofErr w:type="spellEnd"/>
                  <w:r w:rsidRPr="00186577">
                    <w:rPr>
                      <w:rFonts w:asciiTheme="minorHAnsi" w:hAnsiTheme="minorHAnsi" w:cstheme="minorHAnsi"/>
                      <w:b/>
                      <w:color w:val="000000"/>
                      <w:sz w:val="18"/>
                      <w:szCs w:val="18"/>
                    </w:rPr>
                    <w:t xml:space="preserve"> »)</w:t>
                  </w:r>
                </w:p>
              </w:tc>
              <w:tc>
                <w:tcPr>
                  <w:tcW w:w="3001" w:type="dxa"/>
                </w:tcPr>
                <w:p w:rsidR="00186577" w:rsidRPr="00186577" w:rsidRDefault="00186577" w:rsidP="00D5219B">
                  <w:pPr>
                    <w:overflowPunct w:val="0"/>
                    <w:autoSpaceDE w:val="0"/>
                    <w:autoSpaceDN w:val="0"/>
                    <w:adjustRightInd w:val="0"/>
                    <w:spacing w:line="240" w:lineRule="atLeast"/>
                    <w:jc w:val="both"/>
                    <w:textAlignment w:val="baseline"/>
                    <w:rPr>
                      <w:rFonts w:asciiTheme="minorHAnsi" w:hAnsiTheme="minorHAnsi" w:cstheme="minorHAnsi"/>
                      <w:b/>
                      <w:color w:val="000000"/>
                      <w:sz w:val="18"/>
                      <w:szCs w:val="18"/>
                    </w:rPr>
                  </w:pPr>
                  <w:r w:rsidRPr="00186577">
                    <w:rPr>
                      <w:rFonts w:asciiTheme="minorHAnsi" w:hAnsiTheme="minorHAnsi" w:cstheme="minorHAnsi"/>
                      <w:b/>
                      <w:color w:val="000000"/>
                      <w:sz w:val="18"/>
                      <w:szCs w:val="18"/>
                    </w:rPr>
                    <w:t>Abréviation ou formule de calcul</w:t>
                  </w:r>
                </w:p>
              </w:tc>
              <w:tc>
                <w:tcPr>
                  <w:tcW w:w="3001" w:type="dxa"/>
                </w:tcPr>
                <w:p w:rsidR="00186577" w:rsidRPr="00186577" w:rsidRDefault="00186577" w:rsidP="00D5219B">
                  <w:pPr>
                    <w:overflowPunct w:val="0"/>
                    <w:autoSpaceDE w:val="0"/>
                    <w:autoSpaceDN w:val="0"/>
                    <w:adjustRightInd w:val="0"/>
                    <w:spacing w:line="240" w:lineRule="atLeast"/>
                    <w:jc w:val="both"/>
                    <w:textAlignment w:val="baseline"/>
                    <w:rPr>
                      <w:rFonts w:asciiTheme="minorHAnsi" w:hAnsiTheme="minorHAnsi" w:cstheme="minorHAnsi"/>
                      <w:b/>
                      <w:color w:val="000000"/>
                      <w:sz w:val="18"/>
                      <w:szCs w:val="18"/>
                    </w:rPr>
                  </w:pPr>
                  <w:r w:rsidRPr="00186577">
                    <w:rPr>
                      <w:rFonts w:asciiTheme="minorHAnsi" w:hAnsiTheme="minorHAnsi" w:cstheme="minorHAnsi"/>
                      <w:b/>
                      <w:color w:val="000000"/>
                      <w:sz w:val="18"/>
                      <w:szCs w:val="18"/>
                    </w:rPr>
                    <w:t>Valeur</w:t>
                  </w:r>
                </w:p>
              </w:tc>
            </w:tr>
            <w:tr w:rsidR="00186577" w:rsidTr="00186577">
              <w:tc>
                <w:tcPr>
                  <w:tcW w:w="3001" w:type="dxa"/>
                </w:tcPr>
                <w:p w:rsidR="00186577" w:rsidRPr="00186577"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r w:rsidRPr="00186577">
                    <w:rPr>
                      <w:rFonts w:asciiTheme="minorHAnsi" w:hAnsiTheme="minorHAnsi" w:cstheme="minorHAnsi"/>
                      <w:color w:val="000000"/>
                      <w:sz w:val="18"/>
                      <w:szCs w:val="18"/>
                    </w:rPr>
                    <w:t>Pourcentage des produits et plus-values nets de charges du fonds dotés de droits différenciés dès lors que le nominal des parts ou titres de capital ou donnant accès au capital ordinaires aura été remboursé au souscripteur</w:t>
                  </w:r>
                </w:p>
              </w:tc>
              <w:tc>
                <w:tcPr>
                  <w:tcW w:w="3001" w:type="dxa"/>
                </w:tcPr>
                <w:p w:rsidR="00186577" w:rsidRDefault="00186577" w:rsidP="00D5219B">
                  <w:pPr>
                    <w:overflowPunct w:val="0"/>
                    <w:autoSpaceDE w:val="0"/>
                    <w:autoSpaceDN w:val="0"/>
                    <w:adjustRightInd w:val="0"/>
                    <w:spacing w:line="240" w:lineRule="atLeast"/>
                    <w:jc w:val="both"/>
                    <w:textAlignment w:val="baseline"/>
                    <w:rPr>
                      <w:rFonts w:ascii="Arial" w:hAnsi="Arial" w:cs="Arial"/>
                      <w:color w:val="000000"/>
                      <w:sz w:val="16"/>
                      <w:szCs w:val="16"/>
                    </w:rPr>
                  </w:pPr>
                </w:p>
              </w:tc>
              <w:tc>
                <w:tcPr>
                  <w:tcW w:w="3001" w:type="dxa"/>
                </w:tcPr>
                <w:p w:rsidR="00186577" w:rsidRDefault="00186577" w:rsidP="00D5219B">
                  <w:pPr>
                    <w:overflowPunct w:val="0"/>
                    <w:autoSpaceDE w:val="0"/>
                    <w:autoSpaceDN w:val="0"/>
                    <w:adjustRightInd w:val="0"/>
                    <w:spacing w:line="240" w:lineRule="atLeast"/>
                    <w:jc w:val="both"/>
                    <w:textAlignment w:val="baseline"/>
                    <w:rPr>
                      <w:rFonts w:ascii="Arial" w:hAnsi="Arial" w:cs="Arial"/>
                      <w:color w:val="000000"/>
                      <w:sz w:val="16"/>
                      <w:szCs w:val="16"/>
                    </w:rPr>
                  </w:pPr>
                </w:p>
              </w:tc>
            </w:tr>
            <w:tr w:rsidR="00186577" w:rsidTr="00186577">
              <w:tc>
                <w:tcPr>
                  <w:tcW w:w="3001" w:type="dxa"/>
                </w:tcPr>
                <w:p w:rsidR="00186577" w:rsidRPr="00186577"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r w:rsidRPr="00186577">
                    <w:rPr>
                      <w:rFonts w:asciiTheme="minorHAnsi" w:hAnsiTheme="minorHAnsi" w:cstheme="minorHAnsi"/>
                      <w:color w:val="000000"/>
                      <w:sz w:val="18"/>
                      <w:szCs w:val="18"/>
                    </w:rPr>
                    <w:t>Pourcentage minimal du montant des souscriptions initiales totales que les titulaires de parts dotés de droits différenciés doivent souscrire pour bénéficier du pourcentage (PVD)</w:t>
                  </w:r>
                </w:p>
              </w:tc>
              <w:tc>
                <w:tcPr>
                  <w:tcW w:w="3001" w:type="dxa"/>
                </w:tcPr>
                <w:p w:rsidR="00186577" w:rsidRDefault="00186577" w:rsidP="00D5219B">
                  <w:pPr>
                    <w:overflowPunct w:val="0"/>
                    <w:autoSpaceDE w:val="0"/>
                    <w:autoSpaceDN w:val="0"/>
                    <w:adjustRightInd w:val="0"/>
                    <w:spacing w:line="240" w:lineRule="atLeast"/>
                    <w:jc w:val="both"/>
                    <w:textAlignment w:val="baseline"/>
                    <w:rPr>
                      <w:rFonts w:ascii="Arial" w:hAnsi="Arial" w:cs="Arial"/>
                      <w:color w:val="000000"/>
                      <w:sz w:val="16"/>
                      <w:szCs w:val="16"/>
                    </w:rPr>
                  </w:pPr>
                </w:p>
              </w:tc>
              <w:tc>
                <w:tcPr>
                  <w:tcW w:w="3001" w:type="dxa"/>
                </w:tcPr>
                <w:p w:rsidR="00186577" w:rsidRDefault="00186577" w:rsidP="00D5219B">
                  <w:pPr>
                    <w:overflowPunct w:val="0"/>
                    <w:autoSpaceDE w:val="0"/>
                    <w:autoSpaceDN w:val="0"/>
                    <w:adjustRightInd w:val="0"/>
                    <w:spacing w:line="240" w:lineRule="atLeast"/>
                    <w:jc w:val="both"/>
                    <w:textAlignment w:val="baseline"/>
                    <w:rPr>
                      <w:rFonts w:ascii="Arial" w:hAnsi="Arial" w:cs="Arial"/>
                      <w:color w:val="000000"/>
                      <w:sz w:val="16"/>
                      <w:szCs w:val="16"/>
                    </w:rPr>
                  </w:pPr>
                </w:p>
              </w:tc>
            </w:tr>
            <w:tr w:rsidR="00186577" w:rsidTr="00186577">
              <w:tc>
                <w:tcPr>
                  <w:tcW w:w="3001" w:type="dxa"/>
                </w:tcPr>
                <w:p w:rsidR="00186577" w:rsidRPr="00186577"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r w:rsidRPr="00186577">
                    <w:rPr>
                      <w:rFonts w:asciiTheme="minorHAnsi" w:hAnsiTheme="minorHAnsi" w:cstheme="minorHAnsi"/>
                      <w:color w:val="000000"/>
                      <w:sz w:val="18"/>
                      <w:szCs w:val="18"/>
                    </w:rPr>
                    <w:lastRenderedPageBreak/>
                    <w:t>Pourcentage de rentabilité du fonds qui doit être atteint pour que les titulaires de parts dotés de droits différenciés puissent bénéficier du pourcentage (PVD)</w:t>
                  </w:r>
                </w:p>
              </w:tc>
              <w:tc>
                <w:tcPr>
                  <w:tcW w:w="3001" w:type="dxa"/>
                </w:tcPr>
                <w:p w:rsidR="00186577" w:rsidRDefault="00186577" w:rsidP="00D5219B">
                  <w:pPr>
                    <w:overflowPunct w:val="0"/>
                    <w:autoSpaceDE w:val="0"/>
                    <w:autoSpaceDN w:val="0"/>
                    <w:adjustRightInd w:val="0"/>
                    <w:spacing w:line="240" w:lineRule="atLeast"/>
                    <w:jc w:val="both"/>
                    <w:textAlignment w:val="baseline"/>
                    <w:rPr>
                      <w:rFonts w:ascii="Arial" w:hAnsi="Arial" w:cs="Arial"/>
                      <w:color w:val="000000"/>
                      <w:sz w:val="16"/>
                      <w:szCs w:val="16"/>
                    </w:rPr>
                  </w:pPr>
                </w:p>
              </w:tc>
              <w:tc>
                <w:tcPr>
                  <w:tcW w:w="3001" w:type="dxa"/>
                </w:tcPr>
                <w:p w:rsidR="00186577" w:rsidRDefault="00186577" w:rsidP="00D5219B">
                  <w:pPr>
                    <w:overflowPunct w:val="0"/>
                    <w:autoSpaceDE w:val="0"/>
                    <w:autoSpaceDN w:val="0"/>
                    <w:adjustRightInd w:val="0"/>
                    <w:spacing w:line="240" w:lineRule="atLeast"/>
                    <w:jc w:val="both"/>
                    <w:textAlignment w:val="baseline"/>
                    <w:rPr>
                      <w:rFonts w:ascii="Arial" w:hAnsi="Arial" w:cs="Arial"/>
                      <w:color w:val="000000"/>
                      <w:sz w:val="16"/>
                      <w:szCs w:val="16"/>
                    </w:rPr>
                  </w:pPr>
                </w:p>
              </w:tc>
            </w:tr>
          </w:tbl>
          <w:p w:rsidR="00186577" w:rsidRPr="00186577" w:rsidRDefault="00186577"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r w:rsidRPr="00186577">
              <w:rPr>
                <w:rFonts w:asciiTheme="minorHAnsi" w:hAnsiTheme="minorHAnsi" w:cstheme="minorHAnsi"/>
                <w:color w:val="000000"/>
                <w:sz w:val="18"/>
                <w:szCs w:val="18"/>
              </w:rPr>
              <w:t xml:space="preserve">1.2. </w:t>
            </w:r>
            <w:r w:rsidRPr="00186577">
              <w:rPr>
                <w:rFonts w:asciiTheme="minorHAnsi" w:hAnsiTheme="minorHAnsi" w:cstheme="minorHAnsi"/>
                <w:b/>
                <w:color w:val="000000"/>
                <w:sz w:val="18"/>
                <w:szCs w:val="18"/>
              </w:rPr>
              <w:tab/>
              <w:t xml:space="preserve">Commission normalisée, selon trois scénarios de performance, entre le montant des parts ordinaires souscrites par le souscripteur, les frais de gestion et de distribution et le coût pour le souscripteur du « </w:t>
            </w:r>
            <w:proofErr w:type="spellStart"/>
            <w:r w:rsidRPr="00186577">
              <w:rPr>
                <w:rFonts w:asciiTheme="minorHAnsi" w:hAnsiTheme="minorHAnsi" w:cstheme="minorHAnsi"/>
                <w:b/>
                <w:color w:val="000000"/>
                <w:sz w:val="18"/>
                <w:szCs w:val="18"/>
              </w:rPr>
              <w:t>carried</w:t>
            </w:r>
            <w:proofErr w:type="spellEnd"/>
            <w:r w:rsidRPr="00186577">
              <w:rPr>
                <w:rFonts w:asciiTheme="minorHAnsi" w:hAnsiTheme="minorHAnsi" w:cstheme="minorHAnsi"/>
                <w:b/>
                <w:color w:val="000000"/>
                <w:sz w:val="18"/>
                <w:szCs w:val="18"/>
              </w:rPr>
              <w:t xml:space="preserve"> </w:t>
            </w:r>
            <w:proofErr w:type="spellStart"/>
            <w:r w:rsidRPr="00186577">
              <w:rPr>
                <w:rFonts w:asciiTheme="minorHAnsi" w:hAnsiTheme="minorHAnsi" w:cstheme="minorHAnsi"/>
                <w:b/>
                <w:color w:val="000000"/>
                <w:sz w:val="18"/>
                <w:szCs w:val="18"/>
              </w:rPr>
              <w:t>interest</w:t>
            </w:r>
            <w:proofErr w:type="spellEnd"/>
            <w:r w:rsidRPr="00186577">
              <w:rPr>
                <w:rFonts w:asciiTheme="minorHAnsi" w:hAnsiTheme="minorHAnsi" w:cstheme="minorHAnsi"/>
                <w:b/>
                <w:color w:val="000000"/>
                <w:sz w:val="18"/>
                <w:szCs w:val="18"/>
              </w:rPr>
              <w:t xml:space="preserve"> » :</w:t>
            </w:r>
          </w:p>
          <w:p w:rsidR="00186577" w:rsidRPr="00186577" w:rsidRDefault="00186577"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r w:rsidRPr="00186577">
              <w:rPr>
                <w:rFonts w:asciiTheme="minorHAnsi" w:hAnsiTheme="minorHAnsi" w:cstheme="minorHAnsi"/>
                <w:color w:val="000000"/>
                <w:sz w:val="18"/>
                <w:szCs w:val="18"/>
              </w:rPr>
              <w:t>Rappel de l’horizon temporel utilisé pour la simulation : sur la durée de vie du fonds (y compris prorogations éventuelles.</w:t>
            </w:r>
          </w:p>
          <w:p w:rsidR="00186577" w:rsidRDefault="00186577"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Arial" w:hAnsi="Arial" w:cs="Arial"/>
                <w:color w:val="000000"/>
                <w:sz w:val="16"/>
                <w:szCs w:val="16"/>
              </w:rPr>
            </w:pPr>
          </w:p>
          <w:tbl>
            <w:tblPr>
              <w:tblStyle w:val="Grilledutableau"/>
              <w:tblW w:w="0" w:type="auto"/>
              <w:tblLook w:val="04A0" w:firstRow="1" w:lastRow="0" w:firstColumn="1" w:lastColumn="0" w:noHBand="0" w:noVBand="1"/>
            </w:tblPr>
            <w:tblGrid>
              <w:gridCol w:w="1800"/>
              <w:gridCol w:w="1800"/>
              <w:gridCol w:w="1801"/>
              <w:gridCol w:w="1801"/>
              <w:gridCol w:w="1801"/>
            </w:tblGrid>
            <w:tr w:rsidR="00186577" w:rsidTr="00E418A2">
              <w:tc>
                <w:tcPr>
                  <w:tcW w:w="1800" w:type="dxa"/>
                </w:tcPr>
                <w:p w:rsidR="00186577" w:rsidRPr="00CD03B3" w:rsidRDefault="00186577" w:rsidP="00186577">
                  <w:pPr>
                    <w:overflowPunct w:val="0"/>
                    <w:autoSpaceDE w:val="0"/>
                    <w:autoSpaceDN w:val="0"/>
                    <w:adjustRightInd w:val="0"/>
                    <w:spacing w:line="240" w:lineRule="atLeast"/>
                    <w:jc w:val="both"/>
                    <w:textAlignment w:val="baseline"/>
                    <w:rPr>
                      <w:rFonts w:asciiTheme="minorHAnsi" w:hAnsiTheme="minorHAnsi" w:cstheme="minorHAnsi"/>
                      <w:b/>
                      <w:color w:val="000000"/>
                      <w:sz w:val="18"/>
                      <w:szCs w:val="18"/>
                    </w:rPr>
                  </w:pPr>
                  <w:r w:rsidRPr="00CD03B3">
                    <w:rPr>
                      <w:rFonts w:asciiTheme="minorHAnsi" w:hAnsiTheme="minorHAnsi" w:cstheme="minorHAnsi"/>
                      <w:b/>
                      <w:color w:val="000000"/>
                      <w:sz w:val="18"/>
                      <w:szCs w:val="18"/>
                    </w:rPr>
                    <w:t>Scénarios de performance</w:t>
                  </w:r>
                </w:p>
                <w:p w:rsidR="00186577" w:rsidRPr="00CD03B3" w:rsidRDefault="00186577" w:rsidP="00186577">
                  <w:pPr>
                    <w:overflowPunct w:val="0"/>
                    <w:autoSpaceDE w:val="0"/>
                    <w:autoSpaceDN w:val="0"/>
                    <w:adjustRightInd w:val="0"/>
                    <w:spacing w:line="240" w:lineRule="atLeast"/>
                    <w:jc w:val="both"/>
                    <w:textAlignment w:val="baseline"/>
                    <w:rPr>
                      <w:rFonts w:asciiTheme="minorHAnsi" w:hAnsiTheme="minorHAnsi" w:cstheme="minorHAnsi"/>
                      <w:b/>
                      <w:color w:val="000000"/>
                      <w:sz w:val="18"/>
                      <w:szCs w:val="18"/>
                    </w:rPr>
                  </w:pPr>
                  <w:r w:rsidRPr="00CD03B3">
                    <w:rPr>
                      <w:rFonts w:asciiTheme="minorHAnsi" w:hAnsiTheme="minorHAnsi" w:cstheme="minorHAnsi"/>
                      <w:b/>
                      <w:color w:val="000000"/>
                      <w:sz w:val="18"/>
                      <w:szCs w:val="18"/>
                    </w:rPr>
                    <w:t>(évolution du montant des parts ordinaires souscrites depuis la souscription, en % de la valeur initiale)</w:t>
                  </w:r>
                </w:p>
              </w:tc>
              <w:tc>
                <w:tcPr>
                  <w:tcW w:w="7203" w:type="dxa"/>
                  <w:gridSpan w:val="4"/>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b/>
                      <w:color w:val="000000"/>
                      <w:sz w:val="18"/>
                      <w:szCs w:val="18"/>
                    </w:rPr>
                  </w:pPr>
                  <w:r w:rsidRPr="00CD03B3">
                    <w:rPr>
                      <w:rFonts w:asciiTheme="minorHAnsi" w:hAnsiTheme="minorHAnsi" w:cstheme="minorHAnsi"/>
                      <w:b/>
                      <w:color w:val="000000"/>
                      <w:sz w:val="18"/>
                      <w:szCs w:val="18"/>
                    </w:rPr>
                    <w:t>Montants totaux, sur toute la durée de vie du fonds (y compris prorogations) pour un montant initial de parts ordinaires souscrites de 1000 dans le fonds</w:t>
                  </w:r>
                </w:p>
              </w:tc>
            </w:tr>
            <w:tr w:rsidR="00186577" w:rsidTr="00186577">
              <w:tc>
                <w:tcPr>
                  <w:tcW w:w="1800"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b/>
                      <w:color w:val="000000"/>
                      <w:sz w:val="18"/>
                      <w:szCs w:val="18"/>
                    </w:rPr>
                  </w:pPr>
                </w:p>
              </w:tc>
              <w:tc>
                <w:tcPr>
                  <w:tcW w:w="1800"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b/>
                      <w:color w:val="000000"/>
                      <w:sz w:val="18"/>
                      <w:szCs w:val="18"/>
                    </w:rPr>
                  </w:pPr>
                  <w:r w:rsidRPr="00CD03B3">
                    <w:rPr>
                      <w:rFonts w:asciiTheme="minorHAnsi" w:hAnsiTheme="minorHAnsi" w:cstheme="minorHAnsi"/>
                      <w:b/>
                      <w:color w:val="000000"/>
                      <w:sz w:val="18"/>
                      <w:szCs w:val="18"/>
                    </w:rPr>
                    <w:t>Montant initial des parts ordinaires souscrites</w:t>
                  </w:r>
                </w:p>
              </w:tc>
              <w:tc>
                <w:tcPr>
                  <w:tcW w:w="1801"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b/>
                      <w:color w:val="000000"/>
                      <w:sz w:val="18"/>
                      <w:szCs w:val="18"/>
                    </w:rPr>
                  </w:pPr>
                  <w:r w:rsidRPr="00CD03B3">
                    <w:rPr>
                      <w:rFonts w:asciiTheme="minorHAnsi" w:hAnsiTheme="minorHAnsi" w:cstheme="minorHAnsi"/>
                      <w:b/>
                      <w:color w:val="000000"/>
                      <w:sz w:val="18"/>
                      <w:szCs w:val="18"/>
                    </w:rPr>
                    <w:t>Total des frais de gestion et de distribution (hors droits d’entrée)</w:t>
                  </w:r>
                </w:p>
              </w:tc>
              <w:tc>
                <w:tcPr>
                  <w:tcW w:w="1801"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b/>
                      <w:color w:val="000000"/>
                      <w:sz w:val="18"/>
                      <w:szCs w:val="18"/>
                    </w:rPr>
                  </w:pPr>
                  <w:r w:rsidRPr="00CD03B3">
                    <w:rPr>
                      <w:rFonts w:asciiTheme="minorHAnsi" w:hAnsiTheme="minorHAnsi" w:cstheme="minorHAnsi"/>
                      <w:b/>
                      <w:color w:val="000000"/>
                      <w:sz w:val="18"/>
                      <w:szCs w:val="18"/>
                    </w:rPr>
                    <w:t xml:space="preserve">Impact du « </w:t>
                  </w:r>
                  <w:proofErr w:type="spellStart"/>
                  <w:r w:rsidRPr="00CD03B3">
                    <w:rPr>
                      <w:rFonts w:asciiTheme="minorHAnsi" w:hAnsiTheme="minorHAnsi" w:cstheme="minorHAnsi"/>
                      <w:b/>
                      <w:color w:val="000000"/>
                      <w:sz w:val="18"/>
                      <w:szCs w:val="18"/>
                    </w:rPr>
                    <w:t>carried</w:t>
                  </w:r>
                  <w:proofErr w:type="spellEnd"/>
                  <w:r w:rsidRPr="00CD03B3">
                    <w:rPr>
                      <w:rFonts w:asciiTheme="minorHAnsi" w:hAnsiTheme="minorHAnsi" w:cstheme="minorHAnsi"/>
                      <w:b/>
                      <w:color w:val="000000"/>
                      <w:sz w:val="18"/>
                      <w:szCs w:val="18"/>
                    </w:rPr>
                    <w:t xml:space="preserve"> </w:t>
                  </w:r>
                  <w:proofErr w:type="spellStart"/>
                  <w:r w:rsidRPr="00CD03B3">
                    <w:rPr>
                      <w:rFonts w:asciiTheme="minorHAnsi" w:hAnsiTheme="minorHAnsi" w:cstheme="minorHAnsi"/>
                      <w:b/>
                      <w:color w:val="000000"/>
                      <w:sz w:val="18"/>
                      <w:szCs w:val="18"/>
                    </w:rPr>
                    <w:t>interest</w:t>
                  </w:r>
                  <w:proofErr w:type="spellEnd"/>
                  <w:r w:rsidRPr="00CD03B3">
                    <w:rPr>
                      <w:rFonts w:asciiTheme="minorHAnsi" w:hAnsiTheme="minorHAnsi" w:cstheme="minorHAnsi"/>
                      <w:b/>
                      <w:color w:val="000000"/>
                      <w:sz w:val="18"/>
                      <w:szCs w:val="18"/>
                    </w:rPr>
                    <w:t xml:space="preserve"> »</w:t>
                  </w:r>
                </w:p>
              </w:tc>
              <w:tc>
                <w:tcPr>
                  <w:tcW w:w="1801"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b/>
                      <w:color w:val="000000"/>
                      <w:sz w:val="18"/>
                      <w:szCs w:val="18"/>
                    </w:rPr>
                  </w:pPr>
                  <w:r w:rsidRPr="00CD03B3">
                    <w:rPr>
                      <w:rFonts w:asciiTheme="minorHAnsi" w:hAnsiTheme="minorHAnsi" w:cstheme="minorHAnsi"/>
                      <w:b/>
                      <w:color w:val="000000"/>
                      <w:sz w:val="18"/>
                      <w:szCs w:val="18"/>
                    </w:rPr>
                    <w:t>Total des distributions au bénéfice du souscripteur de parts lors de la liquidation (nettes de frais)</w:t>
                  </w:r>
                </w:p>
              </w:tc>
            </w:tr>
            <w:tr w:rsidR="00186577" w:rsidTr="00186577">
              <w:tc>
                <w:tcPr>
                  <w:tcW w:w="1800" w:type="dxa"/>
                </w:tcPr>
                <w:p w:rsidR="00186577" w:rsidRPr="00CD03B3" w:rsidRDefault="00186577" w:rsidP="00186577">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r w:rsidRPr="00CD03B3">
                    <w:rPr>
                      <w:rFonts w:asciiTheme="minorHAnsi" w:hAnsiTheme="minorHAnsi" w:cstheme="minorHAnsi"/>
                      <w:color w:val="000000"/>
                      <w:sz w:val="18"/>
                      <w:szCs w:val="18"/>
                    </w:rPr>
                    <w:t xml:space="preserve">Scénario pessimiste : </w:t>
                  </w:r>
                </w:p>
                <w:p w:rsidR="00186577" w:rsidRPr="00CD03B3" w:rsidRDefault="00186577" w:rsidP="00186577">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r w:rsidRPr="00CD03B3">
                    <w:rPr>
                      <w:rFonts w:asciiTheme="minorHAnsi" w:hAnsiTheme="minorHAnsi" w:cstheme="minorHAnsi"/>
                      <w:color w:val="000000"/>
                      <w:sz w:val="18"/>
                      <w:szCs w:val="18"/>
                    </w:rPr>
                    <w:t>50 %</w:t>
                  </w:r>
                </w:p>
              </w:tc>
              <w:tc>
                <w:tcPr>
                  <w:tcW w:w="1800"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r w:rsidRPr="00CD03B3">
                    <w:rPr>
                      <w:rFonts w:asciiTheme="minorHAnsi" w:hAnsiTheme="minorHAnsi" w:cstheme="minorHAnsi"/>
                      <w:color w:val="000000"/>
                      <w:sz w:val="18"/>
                      <w:szCs w:val="18"/>
                    </w:rPr>
                    <w:t>1000</w:t>
                  </w:r>
                </w:p>
              </w:tc>
              <w:tc>
                <w:tcPr>
                  <w:tcW w:w="1801"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p>
              </w:tc>
              <w:tc>
                <w:tcPr>
                  <w:tcW w:w="1801"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p>
              </w:tc>
              <w:tc>
                <w:tcPr>
                  <w:tcW w:w="1801"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p>
              </w:tc>
            </w:tr>
            <w:tr w:rsidR="00186577" w:rsidTr="00186577">
              <w:tc>
                <w:tcPr>
                  <w:tcW w:w="1800" w:type="dxa"/>
                </w:tcPr>
                <w:p w:rsidR="00186577" w:rsidRPr="00CD03B3" w:rsidRDefault="00186577" w:rsidP="00186577">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r w:rsidRPr="00CD03B3">
                    <w:rPr>
                      <w:rFonts w:asciiTheme="minorHAnsi" w:hAnsiTheme="minorHAnsi" w:cstheme="minorHAnsi"/>
                      <w:color w:val="000000"/>
                      <w:sz w:val="18"/>
                      <w:szCs w:val="18"/>
                    </w:rPr>
                    <w:t xml:space="preserve">Scénario moyen : </w:t>
                  </w:r>
                </w:p>
                <w:p w:rsidR="00186577" w:rsidRPr="00CD03B3" w:rsidRDefault="00186577" w:rsidP="00186577">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r w:rsidRPr="00CD03B3">
                    <w:rPr>
                      <w:rFonts w:asciiTheme="minorHAnsi" w:hAnsiTheme="minorHAnsi" w:cstheme="minorHAnsi"/>
                      <w:color w:val="000000"/>
                      <w:sz w:val="18"/>
                      <w:szCs w:val="18"/>
                    </w:rPr>
                    <w:t>150 %</w:t>
                  </w:r>
                </w:p>
              </w:tc>
              <w:tc>
                <w:tcPr>
                  <w:tcW w:w="1800"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r w:rsidRPr="00CD03B3">
                    <w:rPr>
                      <w:rFonts w:asciiTheme="minorHAnsi" w:hAnsiTheme="minorHAnsi" w:cstheme="minorHAnsi"/>
                      <w:color w:val="000000"/>
                      <w:sz w:val="18"/>
                      <w:szCs w:val="18"/>
                    </w:rPr>
                    <w:t>1000</w:t>
                  </w:r>
                </w:p>
              </w:tc>
              <w:tc>
                <w:tcPr>
                  <w:tcW w:w="1801"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p>
              </w:tc>
              <w:tc>
                <w:tcPr>
                  <w:tcW w:w="1801"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p>
              </w:tc>
              <w:tc>
                <w:tcPr>
                  <w:tcW w:w="1801"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p>
              </w:tc>
            </w:tr>
            <w:tr w:rsidR="00186577" w:rsidTr="00186577">
              <w:tc>
                <w:tcPr>
                  <w:tcW w:w="1800" w:type="dxa"/>
                </w:tcPr>
                <w:p w:rsidR="00186577" w:rsidRPr="00CD03B3" w:rsidRDefault="00186577" w:rsidP="00186577">
                  <w:pPr>
                    <w:overflowPunct w:val="0"/>
                    <w:autoSpaceDE w:val="0"/>
                    <w:autoSpaceDN w:val="0"/>
                    <w:adjustRightInd w:val="0"/>
                    <w:spacing w:line="240" w:lineRule="atLeast"/>
                    <w:textAlignment w:val="baseline"/>
                    <w:rPr>
                      <w:rFonts w:asciiTheme="minorHAnsi" w:hAnsiTheme="minorHAnsi" w:cstheme="minorHAnsi"/>
                      <w:color w:val="000000"/>
                      <w:sz w:val="18"/>
                      <w:szCs w:val="18"/>
                    </w:rPr>
                  </w:pPr>
                  <w:r w:rsidRPr="00CD03B3">
                    <w:rPr>
                      <w:rFonts w:asciiTheme="minorHAnsi" w:hAnsiTheme="minorHAnsi" w:cstheme="minorHAnsi"/>
                      <w:color w:val="000000"/>
                      <w:sz w:val="18"/>
                      <w:szCs w:val="18"/>
                    </w:rPr>
                    <w:t xml:space="preserve">Scénario optimiste : </w:t>
                  </w:r>
                </w:p>
                <w:p w:rsidR="00186577" w:rsidRPr="00CD03B3" w:rsidRDefault="00186577" w:rsidP="00186577">
                  <w:pPr>
                    <w:overflowPunct w:val="0"/>
                    <w:autoSpaceDE w:val="0"/>
                    <w:autoSpaceDN w:val="0"/>
                    <w:adjustRightInd w:val="0"/>
                    <w:spacing w:line="240" w:lineRule="atLeast"/>
                    <w:textAlignment w:val="baseline"/>
                    <w:rPr>
                      <w:rFonts w:asciiTheme="minorHAnsi" w:hAnsiTheme="minorHAnsi" w:cstheme="minorHAnsi"/>
                      <w:color w:val="000000"/>
                      <w:sz w:val="18"/>
                      <w:szCs w:val="18"/>
                    </w:rPr>
                  </w:pPr>
                  <w:r w:rsidRPr="00CD03B3">
                    <w:rPr>
                      <w:rFonts w:asciiTheme="minorHAnsi" w:hAnsiTheme="minorHAnsi" w:cstheme="minorHAnsi"/>
                      <w:color w:val="000000"/>
                      <w:sz w:val="18"/>
                      <w:szCs w:val="18"/>
                    </w:rPr>
                    <w:t>250 %</w:t>
                  </w:r>
                </w:p>
              </w:tc>
              <w:tc>
                <w:tcPr>
                  <w:tcW w:w="1800"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r w:rsidRPr="00CD03B3">
                    <w:rPr>
                      <w:rFonts w:asciiTheme="minorHAnsi" w:hAnsiTheme="minorHAnsi" w:cstheme="minorHAnsi"/>
                      <w:color w:val="000000"/>
                      <w:sz w:val="18"/>
                      <w:szCs w:val="18"/>
                    </w:rPr>
                    <w:t>1000</w:t>
                  </w:r>
                </w:p>
              </w:tc>
              <w:tc>
                <w:tcPr>
                  <w:tcW w:w="1801"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p>
              </w:tc>
              <w:tc>
                <w:tcPr>
                  <w:tcW w:w="1801"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p>
              </w:tc>
              <w:tc>
                <w:tcPr>
                  <w:tcW w:w="1801" w:type="dxa"/>
                </w:tcPr>
                <w:p w:rsidR="00186577" w:rsidRPr="00CD03B3" w:rsidRDefault="00186577" w:rsidP="00D5219B">
                  <w:pP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p>
              </w:tc>
            </w:tr>
          </w:tbl>
          <w:p w:rsidR="00CD03B3" w:rsidRPr="00212A09" w:rsidRDefault="00CD03B3" w:rsidP="00CD03B3">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i/>
                <w:color w:val="000000"/>
                <w:sz w:val="16"/>
                <w:szCs w:val="16"/>
              </w:rPr>
            </w:pPr>
            <w:r w:rsidRPr="00212A09">
              <w:rPr>
                <w:rFonts w:asciiTheme="minorHAnsi" w:hAnsiTheme="minorHAnsi" w:cstheme="minorHAnsi"/>
                <w:i/>
                <w:color w:val="000000"/>
                <w:sz w:val="16"/>
                <w:szCs w:val="16"/>
              </w:rPr>
              <w:t xml:space="preserve">« Attention, les scénarios ne sont donnés qu’à titre indicatif et leur présentation ne constitue en aucun cas une garantie sur leur réalisation effective. Ils résultent d’une simulation réalisée selon les normes réglementaires prévues à l’article 5 de l’arrêté du 10 avril 2012 pris pour l’application du décret n° 2012-465 du 10 avril 2012 relatif à l’encadrement et à la transparence des frais et commissions prélevés directement ou indirectement par les fonds et sociétés mentionnés aux articles 199 </w:t>
            </w:r>
            <w:r w:rsidRPr="00212A09">
              <w:rPr>
                <w:rFonts w:asciiTheme="minorHAnsi" w:hAnsiTheme="minorHAnsi" w:cstheme="minorHAnsi"/>
                <w:i/>
                <w:iCs/>
                <w:color w:val="000000"/>
                <w:sz w:val="16"/>
                <w:szCs w:val="16"/>
              </w:rPr>
              <w:t>terdecies</w:t>
            </w:r>
            <w:r w:rsidRPr="00212A09">
              <w:rPr>
                <w:rFonts w:asciiTheme="minorHAnsi" w:hAnsiTheme="minorHAnsi" w:cstheme="minorHAnsi"/>
                <w:i/>
                <w:color w:val="000000"/>
                <w:sz w:val="16"/>
                <w:szCs w:val="16"/>
              </w:rPr>
              <w:t>-</w:t>
            </w:r>
            <w:smartTag w:uri="urn:schemas-microsoft-com:office:smarttags" w:element="metricconverter">
              <w:smartTagPr>
                <w:attr w:name="ProductID" w:val="0 A"/>
              </w:smartTagPr>
              <w:r w:rsidRPr="00212A09">
                <w:rPr>
                  <w:rFonts w:asciiTheme="minorHAnsi" w:hAnsiTheme="minorHAnsi" w:cstheme="minorHAnsi"/>
                  <w:i/>
                  <w:color w:val="000000"/>
                  <w:sz w:val="16"/>
                  <w:szCs w:val="16"/>
                </w:rPr>
                <w:t>0 A</w:t>
              </w:r>
            </w:smartTag>
            <w:r w:rsidRPr="00212A09">
              <w:rPr>
                <w:rFonts w:asciiTheme="minorHAnsi" w:hAnsiTheme="minorHAnsi" w:cstheme="minorHAnsi"/>
                <w:i/>
                <w:color w:val="000000"/>
                <w:sz w:val="16"/>
                <w:szCs w:val="16"/>
              </w:rPr>
              <w:t xml:space="preserve"> et 885-0 V </w:t>
            </w:r>
            <w:r w:rsidRPr="00212A09">
              <w:rPr>
                <w:rFonts w:asciiTheme="minorHAnsi" w:hAnsiTheme="minorHAnsi" w:cstheme="minorHAnsi"/>
                <w:i/>
                <w:iCs/>
                <w:color w:val="000000"/>
                <w:sz w:val="16"/>
                <w:szCs w:val="16"/>
              </w:rPr>
              <w:t xml:space="preserve">bis </w:t>
            </w:r>
            <w:r w:rsidRPr="00212A09">
              <w:rPr>
                <w:rFonts w:asciiTheme="minorHAnsi" w:hAnsiTheme="minorHAnsi" w:cstheme="minorHAnsi"/>
                <w:i/>
                <w:color w:val="000000"/>
                <w:sz w:val="16"/>
                <w:szCs w:val="16"/>
              </w:rPr>
              <w:t>du code général des impôts.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color w:val="000000"/>
                <w:sz w:val="18"/>
                <w:szCs w:val="18"/>
              </w:rPr>
            </w:pP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b/>
                <w:sz w:val="18"/>
                <w:szCs w:val="18"/>
              </w:rPr>
            </w:pPr>
            <w:r w:rsidRPr="00D5219B">
              <w:rPr>
                <w:rFonts w:asciiTheme="minorHAnsi" w:hAnsiTheme="minorHAnsi" w:cstheme="minorHAnsi"/>
                <w:b/>
                <w:sz w:val="18"/>
                <w:szCs w:val="18"/>
              </w:rPr>
              <w:t xml:space="preserve">Informations pratiques :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xml:space="preserve">- nom du dépositaire ;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lieu et modalités d’ob</w:t>
            </w:r>
            <w:r w:rsidR="00CD03B3">
              <w:rPr>
                <w:rFonts w:asciiTheme="minorHAnsi" w:hAnsiTheme="minorHAnsi" w:cstheme="minorHAnsi"/>
                <w:sz w:val="18"/>
                <w:szCs w:val="18"/>
              </w:rPr>
              <w:t>tention d’information sur le FCPR</w:t>
            </w:r>
            <w:r w:rsidRPr="00D5219B">
              <w:rPr>
                <w:rFonts w:asciiTheme="minorHAnsi" w:hAnsiTheme="minorHAnsi" w:cstheme="minorHAnsi"/>
                <w:sz w:val="18"/>
                <w:szCs w:val="18"/>
              </w:rPr>
              <w:t xml:space="preserve"> (</w:t>
            </w:r>
            <w:r w:rsidR="00CD03B3">
              <w:rPr>
                <w:rFonts w:asciiTheme="minorHAnsi" w:hAnsiTheme="minorHAnsi" w:cstheme="minorHAnsi"/>
                <w:sz w:val="18"/>
                <w:szCs w:val="18"/>
              </w:rPr>
              <w:t>règlement</w:t>
            </w:r>
            <w:r w:rsidRPr="00D5219B">
              <w:rPr>
                <w:rFonts w:asciiTheme="minorHAnsi" w:hAnsiTheme="minorHAnsi" w:cstheme="minorHAnsi"/>
                <w:sz w:val="18"/>
                <w:szCs w:val="18"/>
              </w:rPr>
              <w:t xml:space="preserve"> /rapport annuel/</w:t>
            </w:r>
            <w:r w:rsidR="00CD03B3">
              <w:rPr>
                <w:rFonts w:asciiTheme="minorHAnsi" w:hAnsiTheme="minorHAnsi" w:cstheme="minorHAnsi"/>
                <w:sz w:val="18"/>
                <w:szCs w:val="18"/>
              </w:rPr>
              <w:t>composition de l’actif/lettre annuelle)</w:t>
            </w:r>
            <w:r w:rsidRPr="00D5219B">
              <w:rPr>
                <w:rFonts w:asciiTheme="minorHAnsi" w:hAnsiTheme="minorHAnsi" w:cstheme="minorHAnsi"/>
                <w:sz w:val="18"/>
                <w:szCs w:val="18"/>
              </w:rPr>
              <w:t>;</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lieu et modalités d’obtention d’autres informations pratiques notamment sur la valeur liquidative</w:t>
            </w:r>
            <w:r w:rsidR="00CD03B3">
              <w:rPr>
                <w:rFonts w:asciiTheme="minorHAnsi" w:hAnsiTheme="minorHAnsi" w:cstheme="minorHAnsi"/>
                <w:sz w:val="18"/>
                <w:szCs w:val="18"/>
              </w:rPr>
              <w:t>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fiscalité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xml:space="preserve">- préciser que </w:t>
            </w:r>
            <w:r w:rsidRPr="00D5219B">
              <w:rPr>
                <w:rFonts w:asciiTheme="minorHAnsi" w:hAnsiTheme="minorHAnsi" w:cstheme="minorHAnsi"/>
                <w:iCs/>
                <w:sz w:val="18"/>
                <w:szCs w:val="18"/>
              </w:rPr>
              <w:t xml:space="preserve">« La responsabilité de [insérer le nom de la société de gestion de portefeuille] ne peut être engagée que sur la base de déclarations contenues dans le présent document qui seraient trompeuses, inexactes ou non cohérentes avec les parties correspondantes du </w:t>
            </w:r>
            <w:r w:rsidR="00CD03B3">
              <w:rPr>
                <w:rFonts w:asciiTheme="minorHAnsi" w:hAnsiTheme="minorHAnsi" w:cstheme="minorHAnsi"/>
                <w:iCs/>
                <w:sz w:val="18"/>
                <w:szCs w:val="18"/>
              </w:rPr>
              <w:t>règlement du FCPR</w:t>
            </w:r>
            <w:r w:rsidR="00212A09">
              <w:rPr>
                <w:rFonts w:asciiTheme="minorHAnsi" w:hAnsiTheme="minorHAnsi" w:cstheme="minorHAnsi"/>
                <w:iCs/>
                <w:sz w:val="18"/>
                <w:szCs w:val="18"/>
              </w:rPr>
              <w:t xml:space="preserve"> </w:t>
            </w:r>
            <w:r w:rsidRPr="00D5219B">
              <w:rPr>
                <w:rFonts w:asciiTheme="minorHAnsi" w:hAnsiTheme="minorHAnsi" w:cstheme="minorHAnsi"/>
                <w:iCs/>
                <w:sz w:val="18"/>
                <w:szCs w:val="18"/>
              </w:rPr>
              <w:t>»</w:t>
            </w:r>
            <w:r w:rsidRPr="00D5219B">
              <w:rPr>
                <w:rFonts w:asciiTheme="minorHAnsi" w:hAnsiTheme="minorHAnsi" w:cstheme="minorHAnsi"/>
                <w:sz w:val="18"/>
                <w:szCs w:val="18"/>
              </w:rPr>
              <w:t>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lieu et modalités d’obtention d’information sur l</w:t>
            </w:r>
            <w:r w:rsidR="00CD03B3">
              <w:rPr>
                <w:rFonts w:asciiTheme="minorHAnsi" w:hAnsiTheme="minorHAnsi" w:cstheme="minorHAnsi"/>
                <w:sz w:val="18"/>
                <w:szCs w:val="18"/>
              </w:rPr>
              <w:t>e FCPR</w:t>
            </w:r>
            <w:r w:rsidRPr="00D5219B">
              <w:rPr>
                <w:rFonts w:asciiTheme="minorHAnsi" w:hAnsiTheme="minorHAnsi" w:cstheme="minorHAnsi"/>
                <w:sz w:val="18"/>
                <w:szCs w:val="18"/>
              </w:rPr>
              <w:t xml:space="preserve"> (</w:t>
            </w:r>
            <w:r w:rsidR="00CD03B3">
              <w:rPr>
                <w:rFonts w:asciiTheme="minorHAnsi" w:hAnsiTheme="minorHAnsi" w:cstheme="minorHAnsi"/>
                <w:sz w:val="18"/>
                <w:szCs w:val="18"/>
              </w:rPr>
              <w:t>règlement</w:t>
            </w:r>
            <w:r w:rsidRPr="00D5219B">
              <w:rPr>
                <w:rFonts w:asciiTheme="minorHAnsi" w:hAnsiTheme="minorHAnsi" w:cstheme="minorHAnsi"/>
                <w:sz w:val="18"/>
                <w:szCs w:val="18"/>
              </w:rPr>
              <w:t xml:space="preserve"> /rapport annuel/document semestriel) si </w:t>
            </w:r>
            <w:r w:rsidR="00CD03B3">
              <w:rPr>
                <w:rFonts w:asciiTheme="minorHAnsi" w:hAnsiTheme="minorHAnsi" w:cstheme="minorHAnsi"/>
                <w:sz w:val="18"/>
                <w:szCs w:val="18"/>
              </w:rPr>
              <w:t>le FCPR</w:t>
            </w:r>
            <w:r w:rsidR="00212A09">
              <w:rPr>
                <w:rFonts w:asciiTheme="minorHAnsi" w:hAnsiTheme="minorHAnsi" w:cstheme="minorHAnsi"/>
                <w:sz w:val="18"/>
                <w:szCs w:val="18"/>
              </w:rPr>
              <w:t xml:space="preserve"> </w:t>
            </w:r>
            <w:r w:rsidRPr="00D5219B">
              <w:rPr>
                <w:rFonts w:asciiTheme="minorHAnsi" w:hAnsiTheme="minorHAnsi" w:cstheme="minorHAnsi"/>
                <w:sz w:val="18"/>
                <w:szCs w:val="18"/>
              </w:rPr>
              <w:t>est un compartiment ;</w:t>
            </w:r>
          </w:p>
          <w:p w:rsidR="00D5219B" w:rsidRPr="00D5219B" w:rsidRDefault="00D5219B" w:rsidP="00CD03B3">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r w:rsidRPr="00D5219B">
              <w:rPr>
                <w:rFonts w:asciiTheme="minorHAnsi" w:hAnsiTheme="minorHAnsi" w:cstheme="minorHAnsi"/>
                <w:sz w:val="18"/>
                <w:szCs w:val="18"/>
              </w:rPr>
              <w:t>- lieu et modalités d’obtention d’information sur les autres catégories de parts (si ce DICI représente plusieurs catég</w:t>
            </w:r>
            <w:r w:rsidR="00CD03B3">
              <w:rPr>
                <w:rFonts w:asciiTheme="minorHAnsi" w:hAnsiTheme="minorHAnsi" w:cstheme="minorHAnsi"/>
                <w:sz w:val="18"/>
                <w:szCs w:val="18"/>
              </w:rPr>
              <w:t>ories de parts ou actions).</w:t>
            </w:r>
            <w:r w:rsidRPr="00D5219B">
              <w:rPr>
                <w:rFonts w:asciiTheme="minorHAnsi" w:hAnsiTheme="minorHAnsi" w:cstheme="minorHAnsi"/>
                <w:sz w:val="18"/>
                <w:szCs w:val="18"/>
              </w:rPr>
              <w:t xml:space="preserve"> </w:t>
            </w:r>
          </w:p>
          <w:p w:rsidR="00D5219B" w:rsidRPr="00D5219B"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sz w:val="18"/>
                <w:szCs w:val="18"/>
              </w:rPr>
            </w:pPr>
          </w:p>
          <w:p w:rsidR="00D5219B" w:rsidRPr="00212A09"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i/>
                <w:sz w:val="18"/>
                <w:szCs w:val="18"/>
              </w:rPr>
            </w:pPr>
            <w:r w:rsidRPr="00212A09">
              <w:rPr>
                <w:rFonts w:asciiTheme="minorHAnsi" w:hAnsiTheme="minorHAnsi" w:cstheme="minorHAnsi"/>
                <w:i/>
                <w:iCs/>
                <w:sz w:val="18"/>
                <w:szCs w:val="18"/>
              </w:rPr>
              <w:t xml:space="preserve">« </w:t>
            </w:r>
            <w:r w:rsidR="00CD03B3" w:rsidRPr="00212A09">
              <w:rPr>
                <w:rFonts w:asciiTheme="minorHAnsi" w:hAnsiTheme="minorHAnsi" w:cstheme="minorHAnsi"/>
                <w:i/>
                <w:iCs/>
                <w:sz w:val="18"/>
                <w:szCs w:val="18"/>
              </w:rPr>
              <w:t>Ce FCPR</w:t>
            </w:r>
            <w:r w:rsidRPr="00212A09">
              <w:rPr>
                <w:rFonts w:asciiTheme="minorHAnsi" w:hAnsiTheme="minorHAnsi" w:cstheme="minorHAnsi"/>
                <w:i/>
                <w:iCs/>
                <w:sz w:val="18"/>
                <w:szCs w:val="18"/>
              </w:rPr>
              <w:t xml:space="preserve"> est agréé par l’AMF et réglementé par l’AMF</w:t>
            </w:r>
            <w:r w:rsidRPr="00212A09">
              <w:rPr>
                <w:rFonts w:asciiTheme="minorHAnsi" w:hAnsiTheme="minorHAnsi" w:cstheme="minorHAnsi"/>
                <w:i/>
                <w:sz w:val="18"/>
                <w:szCs w:val="18"/>
              </w:rPr>
              <w:t> »</w:t>
            </w:r>
            <w:r w:rsidR="00212A09" w:rsidRPr="00212A09">
              <w:rPr>
                <w:rFonts w:asciiTheme="minorHAnsi" w:hAnsiTheme="minorHAnsi" w:cstheme="minorHAnsi"/>
                <w:i/>
                <w:sz w:val="18"/>
                <w:szCs w:val="18"/>
              </w:rPr>
              <w:t>.</w:t>
            </w:r>
          </w:p>
          <w:p w:rsidR="00D5219B" w:rsidRPr="00212A09"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i/>
                <w:sz w:val="18"/>
                <w:szCs w:val="18"/>
              </w:rPr>
            </w:pPr>
            <w:r w:rsidRPr="00212A09">
              <w:rPr>
                <w:rFonts w:asciiTheme="minorHAnsi" w:hAnsiTheme="minorHAnsi" w:cstheme="minorHAnsi"/>
                <w:i/>
                <w:sz w:val="18"/>
                <w:szCs w:val="18"/>
              </w:rPr>
              <w:t>« [Nom de la société de gestion] est agréée par [nom de l’État membre] et réglementée par [nom de l’autorité compétente] »</w:t>
            </w:r>
            <w:r w:rsidR="00212A09" w:rsidRPr="00212A09">
              <w:rPr>
                <w:rFonts w:asciiTheme="minorHAnsi" w:hAnsiTheme="minorHAnsi" w:cstheme="minorHAnsi"/>
                <w:i/>
                <w:sz w:val="18"/>
                <w:szCs w:val="18"/>
              </w:rPr>
              <w:t>.</w:t>
            </w:r>
            <w:r w:rsidRPr="00212A09">
              <w:rPr>
                <w:rFonts w:asciiTheme="minorHAnsi" w:hAnsiTheme="minorHAnsi" w:cstheme="minorHAnsi"/>
                <w:i/>
                <w:sz w:val="18"/>
                <w:szCs w:val="18"/>
              </w:rPr>
              <w:t xml:space="preserve"> </w:t>
            </w:r>
          </w:p>
          <w:p w:rsidR="00D5219B" w:rsidRPr="00212A09" w:rsidRDefault="00D5219B" w:rsidP="00D5219B">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40" w:lineRule="atLeast"/>
              <w:jc w:val="both"/>
              <w:textAlignment w:val="baseline"/>
              <w:rPr>
                <w:rFonts w:asciiTheme="minorHAnsi" w:hAnsiTheme="minorHAnsi" w:cstheme="minorHAnsi"/>
                <w:i/>
                <w:color w:val="FF9900"/>
                <w:sz w:val="18"/>
                <w:szCs w:val="18"/>
              </w:rPr>
            </w:pPr>
            <w:r w:rsidRPr="00212A09">
              <w:rPr>
                <w:rFonts w:asciiTheme="minorHAnsi" w:hAnsiTheme="minorHAnsi" w:cstheme="minorHAnsi"/>
                <w:i/>
                <w:iCs/>
                <w:sz w:val="18"/>
                <w:szCs w:val="18"/>
              </w:rPr>
              <w:t xml:space="preserve">« Les informations clés pour l’investisseur ici fournies sont exactes et </w:t>
            </w:r>
            <w:r w:rsidR="00212A09" w:rsidRPr="00212A09">
              <w:rPr>
                <w:rFonts w:asciiTheme="minorHAnsi" w:hAnsiTheme="minorHAnsi" w:cstheme="minorHAnsi"/>
                <w:i/>
                <w:iCs/>
                <w:sz w:val="18"/>
                <w:szCs w:val="18"/>
              </w:rPr>
              <w:t>à jour au [date de publication]</w:t>
            </w:r>
            <w:r w:rsidRPr="00212A09">
              <w:rPr>
                <w:rFonts w:asciiTheme="minorHAnsi" w:hAnsiTheme="minorHAnsi" w:cstheme="minorHAnsi"/>
                <w:i/>
                <w:iCs/>
                <w:sz w:val="18"/>
                <w:szCs w:val="18"/>
              </w:rPr>
              <w:t xml:space="preserve"> »</w:t>
            </w:r>
            <w:r w:rsidR="00212A09" w:rsidRPr="00212A09">
              <w:rPr>
                <w:rFonts w:asciiTheme="minorHAnsi" w:hAnsiTheme="minorHAnsi" w:cstheme="minorHAnsi"/>
                <w:i/>
                <w:iCs/>
                <w:sz w:val="18"/>
                <w:szCs w:val="18"/>
              </w:rPr>
              <w:t>.</w:t>
            </w:r>
            <w:r w:rsidRPr="00212A09">
              <w:rPr>
                <w:rFonts w:asciiTheme="minorHAnsi" w:hAnsiTheme="minorHAnsi" w:cstheme="minorHAnsi"/>
                <w:i/>
                <w:color w:val="FF9900"/>
                <w:sz w:val="18"/>
                <w:szCs w:val="18"/>
              </w:rPr>
              <w:t xml:space="preserve"> </w:t>
            </w:r>
          </w:p>
          <w:p w:rsidR="00212A09" w:rsidRPr="00212A09" w:rsidRDefault="00212A09" w:rsidP="00D5219B">
            <w:pPr>
              <w:overflowPunct w:val="0"/>
              <w:autoSpaceDE w:val="0"/>
              <w:autoSpaceDN w:val="0"/>
              <w:adjustRightInd w:val="0"/>
              <w:spacing w:line="240" w:lineRule="atLeast"/>
              <w:jc w:val="both"/>
              <w:textAlignment w:val="baseline"/>
              <w:rPr>
                <w:rFonts w:asciiTheme="minorHAnsi" w:hAnsiTheme="minorHAnsi" w:cstheme="minorHAnsi"/>
                <w:sz w:val="18"/>
                <w:szCs w:val="18"/>
              </w:rPr>
            </w:pPr>
          </w:p>
        </w:tc>
      </w:tr>
    </w:tbl>
    <w:p w:rsidR="00D5219B" w:rsidRDefault="00D5219B" w:rsidP="00212A09">
      <w:pPr>
        <w:pStyle w:val="AMFTEXTECOURANT"/>
        <w:ind w:left="0"/>
      </w:pPr>
    </w:p>
    <w:sectPr w:rsidR="00D5219B" w:rsidSect="00081395">
      <w:headerReference w:type="default" r:id="rId9"/>
      <w:footerReference w:type="default" r:id="rId10"/>
      <w:headerReference w:type="first" r:id="rId11"/>
      <w:footerReference w:type="first" r:id="rId12"/>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87" w:rsidRDefault="00CD7687">
      <w:r>
        <w:separator/>
      </w:r>
    </w:p>
  </w:endnote>
  <w:endnote w:type="continuationSeparator" w:id="0">
    <w:p w:rsidR="00CD7687" w:rsidRDefault="00CD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4A" w:rsidRDefault="007E22D8" w:rsidP="00E7614A">
    <w:pPr>
      <w:pStyle w:val="Pieddepage"/>
      <w:ind w:left="4956" w:firstLine="3540"/>
    </w:pPr>
    <w:sdt>
      <w:sdtPr>
        <w:rPr>
          <w:rFonts w:asciiTheme="minorHAnsi" w:hAnsiTheme="minorHAnsi" w:cstheme="minorHAnsi"/>
          <w:sz w:val="18"/>
          <w:szCs w:val="18"/>
        </w:rPr>
        <w:id w:val="-2135629074"/>
        <w:docPartObj>
          <w:docPartGallery w:val="Page Numbers (Top of Page)"/>
          <w:docPartUnique/>
        </w:docPartObj>
      </w:sdtPr>
      <w:sdtEndPr/>
      <w:sdtContent>
        <w:r w:rsidR="00E7614A" w:rsidRPr="00333E95">
          <w:rPr>
            <w:rFonts w:asciiTheme="minorHAnsi" w:hAnsiTheme="minorHAnsi" w:cstheme="minorHAnsi"/>
            <w:bCs/>
            <w:sz w:val="18"/>
            <w:szCs w:val="18"/>
          </w:rPr>
          <w:fldChar w:fldCharType="begin"/>
        </w:r>
        <w:r w:rsidR="00E7614A" w:rsidRPr="00333E95">
          <w:rPr>
            <w:rFonts w:asciiTheme="minorHAnsi" w:hAnsiTheme="minorHAnsi" w:cstheme="minorHAnsi"/>
            <w:bCs/>
            <w:sz w:val="18"/>
            <w:szCs w:val="18"/>
          </w:rPr>
          <w:instrText>PAGE</w:instrText>
        </w:r>
        <w:r w:rsidR="00E7614A"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E7614A" w:rsidRPr="00333E95">
          <w:rPr>
            <w:rFonts w:asciiTheme="minorHAnsi" w:hAnsiTheme="minorHAnsi" w:cstheme="minorHAnsi"/>
            <w:bCs/>
            <w:sz w:val="18"/>
            <w:szCs w:val="18"/>
          </w:rPr>
          <w:fldChar w:fldCharType="end"/>
        </w:r>
        <w:r w:rsidR="00E7614A" w:rsidRPr="00333E95">
          <w:rPr>
            <w:rFonts w:asciiTheme="minorHAnsi" w:hAnsiTheme="minorHAnsi" w:cstheme="minorHAnsi"/>
            <w:sz w:val="18"/>
            <w:szCs w:val="18"/>
          </w:rPr>
          <w:t>/</w:t>
        </w:r>
        <w:r w:rsidR="00E7614A" w:rsidRPr="00333E95">
          <w:rPr>
            <w:rFonts w:asciiTheme="minorHAnsi" w:hAnsiTheme="minorHAnsi" w:cstheme="minorHAnsi"/>
            <w:bCs/>
            <w:sz w:val="18"/>
            <w:szCs w:val="18"/>
          </w:rPr>
          <w:fldChar w:fldCharType="begin"/>
        </w:r>
        <w:r w:rsidR="00E7614A" w:rsidRPr="00333E95">
          <w:rPr>
            <w:rFonts w:asciiTheme="minorHAnsi" w:hAnsiTheme="minorHAnsi" w:cstheme="minorHAnsi"/>
            <w:bCs/>
            <w:sz w:val="18"/>
            <w:szCs w:val="18"/>
          </w:rPr>
          <w:instrText>NUMPAGES</w:instrText>
        </w:r>
        <w:r w:rsidR="00E7614A"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3</w:t>
        </w:r>
        <w:r w:rsidR="00E7614A"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4A" w:rsidRDefault="007E22D8" w:rsidP="00E7614A">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E7614A" w:rsidRPr="00333E95">
          <w:rPr>
            <w:rFonts w:asciiTheme="minorHAnsi" w:hAnsiTheme="minorHAnsi" w:cstheme="minorHAnsi"/>
            <w:bCs/>
            <w:sz w:val="18"/>
            <w:szCs w:val="18"/>
          </w:rPr>
          <w:fldChar w:fldCharType="begin"/>
        </w:r>
        <w:r w:rsidR="00E7614A" w:rsidRPr="00333E95">
          <w:rPr>
            <w:rFonts w:asciiTheme="minorHAnsi" w:hAnsiTheme="minorHAnsi" w:cstheme="minorHAnsi"/>
            <w:bCs/>
            <w:sz w:val="18"/>
            <w:szCs w:val="18"/>
          </w:rPr>
          <w:instrText>PAGE</w:instrText>
        </w:r>
        <w:r w:rsidR="00E7614A"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E7614A" w:rsidRPr="00333E95">
          <w:rPr>
            <w:rFonts w:asciiTheme="minorHAnsi" w:hAnsiTheme="minorHAnsi" w:cstheme="minorHAnsi"/>
            <w:bCs/>
            <w:sz w:val="18"/>
            <w:szCs w:val="18"/>
          </w:rPr>
          <w:fldChar w:fldCharType="end"/>
        </w:r>
        <w:r w:rsidR="00E7614A" w:rsidRPr="00333E95">
          <w:rPr>
            <w:rFonts w:asciiTheme="minorHAnsi" w:hAnsiTheme="minorHAnsi" w:cstheme="minorHAnsi"/>
            <w:sz w:val="18"/>
            <w:szCs w:val="18"/>
          </w:rPr>
          <w:t>/</w:t>
        </w:r>
        <w:r w:rsidR="00E7614A" w:rsidRPr="00333E95">
          <w:rPr>
            <w:rFonts w:asciiTheme="minorHAnsi" w:hAnsiTheme="minorHAnsi" w:cstheme="minorHAnsi"/>
            <w:bCs/>
            <w:sz w:val="18"/>
            <w:szCs w:val="18"/>
          </w:rPr>
          <w:fldChar w:fldCharType="begin"/>
        </w:r>
        <w:r w:rsidR="00E7614A" w:rsidRPr="00333E95">
          <w:rPr>
            <w:rFonts w:asciiTheme="minorHAnsi" w:hAnsiTheme="minorHAnsi" w:cstheme="minorHAnsi"/>
            <w:bCs/>
            <w:sz w:val="18"/>
            <w:szCs w:val="18"/>
          </w:rPr>
          <w:instrText>NUMPAGES</w:instrText>
        </w:r>
        <w:r w:rsidR="00E7614A"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3</w:t>
        </w:r>
        <w:r w:rsidR="00E7614A"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87" w:rsidRDefault="00CD7687">
      <w:r>
        <w:separator/>
      </w:r>
    </w:p>
  </w:footnote>
  <w:footnote w:type="continuationSeparator" w:id="0">
    <w:p w:rsidR="00CD7687" w:rsidRDefault="00CD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7C" w:rsidRDefault="000B7F59">
    <w:pPr>
      <w:pStyle w:val="En-tte"/>
      <w:rPr>
        <w:rFonts w:asciiTheme="minorHAnsi" w:hAnsiTheme="minorHAnsi" w:cstheme="minorHAnsi"/>
        <w:sz w:val="18"/>
        <w:szCs w:val="18"/>
      </w:rPr>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rsidR="00E7614A">
      <w:t xml:space="preserve">                   </w:t>
    </w:r>
    <w:r w:rsidR="00E7614A">
      <w:rPr>
        <w:rFonts w:asciiTheme="minorHAnsi" w:hAnsiTheme="minorHAnsi" w:cstheme="minorHAnsi"/>
        <w:sz w:val="18"/>
        <w:szCs w:val="18"/>
      </w:rPr>
      <w:br/>
      <w:t xml:space="preserve">                            </w:t>
    </w:r>
  </w:p>
  <w:p w:rsidR="000B7F59" w:rsidRDefault="00E7614A">
    <w:pPr>
      <w:pStyle w:val="En-tte"/>
    </w:pPr>
    <w:r w:rsidRPr="00E7614A">
      <w:rPr>
        <w:rFonts w:asciiTheme="minorHAnsi" w:hAnsiTheme="minorHAnsi" w:cstheme="minorHAnsi"/>
        <w:sz w:val="18"/>
        <w:szCs w:val="18"/>
      </w:rPr>
      <w:t>Plan type du document d’information clé pour l’investisseur (DICI)</w:t>
    </w:r>
    <w:r w:rsidR="00695A7C">
      <w:rPr>
        <w:rFonts w:asciiTheme="minorHAnsi" w:hAnsiTheme="minorHAnsi" w:cstheme="minorHAnsi"/>
        <w:sz w:val="18"/>
        <w:szCs w:val="18"/>
      </w:rPr>
      <w:t xml:space="preserve"> – Annexe </w:t>
    </w:r>
    <w:r w:rsidR="007E22D8">
      <w:rPr>
        <w:rFonts w:asciiTheme="minorHAnsi" w:hAnsiTheme="minorHAnsi" w:cstheme="minorHAnsi"/>
        <w:sz w:val="18"/>
        <w:szCs w:val="18"/>
      </w:rPr>
      <w:t>V</w:t>
    </w:r>
    <w:r w:rsidR="00695A7C">
      <w:rPr>
        <w:rFonts w:asciiTheme="minorHAnsi" w:hAnsiTheme="minorHAnsi" w:cstheme="minorHAnsi"/>
        <w:sz w:val="18"/>
        <w:szCs w:val="18"/>
      </w:rPr>
      <w:t>I de l’instruction AMF DOC-2011-2</w:t>
    </w:r>
    <w:r w:rsidR="006A0C96">
      <w:rPr>
        <w:rFonts w:asciiTheme="minorHAnsi" w:hAnsiTheme="minorHAnsi" w:cstheme="minorHAnsi"/>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pt;height:27.9pt" o:bullet="t">
        <v:imagedata r:id="rId1" o:title="Flêche_AMF_blc"/>
      </v:shape>
    </w:pict>
  </w:numPicBullet>
  <w:numPicBullet w:numPicBulletId="1">
    <w:pict>
      <v:shape id="_x0000_i1027" type="#_x0000_t75" style="width:2.1pt;height:2.1pt" o:bullet="t">
        <v:imagedata r:id="rId2" o:title="Fleche_prune copie"/>
      </v:shape>
    </w:pict>
  </w:numPicBullet>
  <w:numPicBullet w:numPicBulletId="2">
    <w:pict>
      <v:shape w14:anchorId="5E9464C7" id="_x0000_i1028" type="#_x0000_t75" style="width:27.9pt;height:27.9pt" o:bullet="t">
        <v:imagedata r:id="rId3" o:title="Fleche_jaune"/>
      </v:shape>
    </w:pict>
  </w:numPicBullet>
  <w:numPicBullet w:numPicBulletId="3">
    <w:pict>
      <v:shape id="_x0000_i1029" type="#_x0000_t75" style="width:27.9pt;height:27.9pt" o:bullet="t">
        <v:imagedata r:id="rId4" o:title="Fleche_aubergine"/>
      </v:shape>
    </w:pict>
  </w:numPicBullet>
  <w:numPicBullet w:numPicBulletId="4">
    <w:pict>
      <v:shape id="_x0000_i1030"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30"/>
  </w:num>
  <w:num w:numId="5">
    <w:abstractNumId w:val="34"/>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5"/>
  </w:num>
  <w:num w:numId="21">
    <w:abstractNumId w:val="14"/>
  </w:num>
  <w:num w:numId="22">
    <w:abstractNumId w:val="18"/>
  </w:num>
  <w:num w:numId="23">
    <w:abstractNumId w:val="13"/>
  </w:num>
  <w:num w:numId="24">
    <w:abstractNumId w:val="29"/>
  </w:num>
  <w:num w:numId="25">
    <w:abstractNumId w:val="26"/>
  </w:num>
  <w:num w:numId="26">
    <w:abstractNumId w:val="33"/>
  </w:num>
  <w:num w:numId="27">
    <w:abstractNumId w:val="20"/>
  </w:num>
  <w:num w:numId="28">
    <w:abstractNumId w:val="16"/>
  </w:num>
  <w:num w:numId="29">
    <w:abstractNumId w:val="22"/>
    <w:lvlOverride w:ilvl="0">
      <w:startOverride w:val="1"/>
    </w:lvlOverride>
  </w:num>
  <w:num w:numId="30">
    <w:abstractNumId w:val="13"/>
  </w:num>
  <w:num w:numId="31">
    <w:abstractNumId w:val="31"/>
  </w:num>
  <w:num w:numId="32">
    <w:abstractNumId w:val="23"/>
  </w:num>
  <w:num w:numId="33">
    <w:abstractNumId w:val="27"/>
  </w:num>
  <w:num w:numId="34">
    <w:abstractNumId w:val="17"/>
  </w:num>
  <w:num w:numId="35">
    <w:abstractNumId w:val="28"/>
  </w:num>
  <w:num w:numId="36">
    <w:abstractNumId w:val="21"/>
  </w:num>
  <w:num w:numId="37">
    <w:abstractNumId w:val="19"/>
  </w:num>
  <w:num w:numId="38">
    <w:abstractNumId w:val="35"/>
  </w:num>
  <w:num w:numId="39">
    <w:abstractNumId w:val="32"/>
  </w:num>
  <w:num w:numId="40">
    <w:abstractNumId w:val="17"/>
  </w:num>
  <w:num w:numId="4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1921"/>
    <w:rsid w:val="000F3F43"/>
    <w:rsid w:val="00105E07"/>
    <w:rsid w:val="0013025C"/>
    <w:rsid w:val="00133FF8"/>
    <w:rsid w:val="00186577"/>
    <w:rsid w:val="00212A09"/>
    <w:rsid w:val="0023233D"/>
    <w:rsid w:val="002434A6"/>
    <w:rsid w:val="00271488"/>
    <w:rsid w:val="002F705A"/>
    <w:rsid w:val="00356D22"/>
    <w:rsid w:val="00365120"/>
    <w:rsid w:val="003B0015"/>
    <w:rsid w:val="005009B5"/>
    <w:rsid w:val="00511597"/>
    <w:rsid w:val="00593EDE"/>
    <w:rsid w:val="005C1100"/>
    <w:rsid w:val="0066464A"/>
    <w:rsid w:val="00695A7C"/>
    <w:rsid w:val="006A0C96"/>
    <w:rsid w:val="006E6631"/>
    <w:rsid w:val="007211C5"/>
    <w:rsid w:val="0075127A"/>
    <w:rsid w:val="007759C7"/>
    <w:rsid w:val="007C2CD0"/>
    <w:rsid w:val="007E22D8"/>
    <w:rsid w:val="00826BA0"/>
    <w:rsid w:val="00835FC9"/>
    <w:rsid w:val="008A64B6"/>
    <w:rsid w:val="008B2E32"/>
    <w:rsid w:val="0097706F"/>
    <w:rsid w:val="009D35DA"/>
    <w:rsid w:val="00A375FC"/>
    <w:rsid w:val="00A52761"/>
    <w:rsid w:val="00AC2B18"/>
    <w:rsid w:val="00AF529B"/>
    <w:rsid w:val="00B90E90"/>
    <w:rsid w:val="00C109BF"/>
    <w:rsid w:val="00C8732C"/>
    <w:rsid w:val="00C96044"/>
    <w:rsid w:val="00CC2A92"/>
    <w:rsid w:val="00CD03B3"/>
    <w:rsid w:val="00CD7687"/>
    <w:rsid w:val="00D5219B"/>
    <w:rsid w:val="00D52CFD"/>
    <w:rsid w:val="00D55321"/>
    <w:rsid w:val="00D80A91"/>
    <w:rsid w:val="00E049BB"/>
    <w:rsid w:val="00E1204F"/>
    <w:rsid w:val="00E46668"/>
    <w:rsid w:val="00E501E4"/>
    <w:rsid w:val="00E66D10"/>
    <w:rsid w:val="00E74AAB"/>
    <w:rsid w:val="00E7614A"/>
    <w:rsid w:val="00F212E6"/>
    <w:rsid w:val="00F72CA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0852E83"/>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table" w:styleId="Grilledutableau">
    <w:name w:val="Table Grid"/>
    <w:basedOn w:val="TableauNormal"/>
    <w:rsid w:val="00F7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40E4-B8E7-47B8-9B54-B15708BD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1235</Words>
  <Characters>6796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8</cp:revision>
  <cp:lastPrinted>2010-11-05T13:58:00Z</cp:lastPrinted>
  <dcterms:created xsi:type="dcterms:W3CDTF">2019-08-30T08:45:00Z</dcterms:created>
  <dcterms:modified xsi:type="dcterms:W3CDTF">2019-10-09T14:25:00Z</dcterms:modified>
</cp:coreProperties>
</file>