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706F" w:rsidRPr="001A7E20" w:rsidRDefault="00E1204F" w:rsidP="00061209">
      <w:pPr>
        <w:pStyle w:val="AMFTitre"/>
        <w:ind w:left="0"/>
        <w:rPr>
          <w:sz w:val="24"/>
          <w:szCs w:val="24"/>
        </w:rPr>
      </w:pPr>
      <w:r w:rsidRPr="001A7E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1A7E20" w:rsidRPr="001A7E20">
        <w:rPr>
          <w:sz w:val="24"/>
          <w:szCs w:val="24"/>
        </w:rPr>
        <w:t>Modalités d’établissement des formulaires en cas de mutation</w:t>
      </w: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Pr="001A7E20" w:rsidRDefault="001A7E20" w:rsidP="001A7E20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1A7E20">
        <w:rPr>
          <w:rFonts w:asciiTheme="minorHAnsi" w:hAnsiTheme="minorHAnsi" w:cstheme="minorHAnsi"/>
          <w:iCs/>
          <w:szCs w:val="20"/>
        </w:rPr>
        <w:t xml:space="preserve">Ce document constitue l’annexe VI bis de l’instruction AMF </w:t>
      </w:r>
      <w:r w:rsidRPr="001A7E20">
        <w:rPr>
          <w:rFonts w:asciiTheme="minorHAnsi" w:hAnsiTheme="minorHAnsi" w:cstheme="minorHAnsi"/>
          <w:szCs w:val="20"/>
        </w:rPr>
        <w:t xml:space="preserve">- Procédures d’agrément, établissement d’un DICI et d’un prospectus et information périodique des OPCVM français et des OPCVM étrangers commercialisés en </w:t>
      </w:r>
      <w:r>
        <w:rPr>
          <w:rFonts w:asciiTheme="minorHAnsi" w:hAnsiTheme="minorHAnsi" w:cstheme="minorHAnsi"/>
          <w:szCs w:val="20"/>
        </w:rPr>
        <w:t>France – DOC-2011-19</w:t>
      </w:r>
    </w:p>
    <w:p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1E2E" w:rsidRPr="00FA1E2E" w:rsidRDefault="00FA1E2E" w:rsidP="00FA1E2E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1E2E">
        <w:rPr>
          <w:rFonts w:asciiTheme="minorHAnsi" w:hAnsiTheme="minorHAnsi" w:cstheme="minorHAnsi"/>
          <w:i/>
          <w:sz w:val="20"/>
          <w:szCs w:val="20"/>
        </w:rPr>
        <w:t>Remplir les tableaux récapitulatifs de l’Annexe VI</w:t>
      </w:r>
    </w:p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1E2E" w:rsidRPr="00FA1E2E" w:rsidRDefault="00FA1E2E" w:rsidP="00FA1E2E">
      <w:pPr>
        <w:jc w:val="both"/>
        <w:rPr>
          <w:rFonts w:asciiTheme="minorHAnsi" w:hAnsiTheme="minorHAnsi" w:cstheme="minorHAnsi"/>
          <w:sz w:val="20"/>
          <w:szCs w:val="20"/>
        </w:rPr>
      </w:pPr>
      <w:r w:rsidRPr="00FA1E2E">
        <w:rPr>
          <w:rFonts w:asciiTheme="minorHAnsi" w:hAnsiTheme="minorHAnsi" w:cstheme="minorHAnsi"/>
          <w:sz w:val="20"/>
          <w:szCs w:val="20"/>
        </w:rPr>
        <w:t>Les mutations d'</w:t>
      </w:r>
      <w:smartTag w:uri="urn:schemas-microsoft-com:office:smarttags" w:element="PersonName">
        <w:r w:rsidRPr="00FA1E2E">
          <w:rPr>
            <w:rFonts w:asciiTheme="minorHAnsi" w:hAnsiTheme="minorHAnsi" w:cstheme="minorHAnsi"/>
            <w:sz w:val="20"/>
            <w:szCs w:val="20"/>
          </w:rPr>
          <w:t>OPCVM</w:t>
        </w:r>
      </w:smartTag>
      <w:r w:rsidRPr="00FA1E2E">
        <w:rPr>
          <w:rFonts w:asciiTheme="minorHAnsi" w:hAnsiTheme="minorHAnsi" w:cstheme="minorHAnsi"/>
          <w:sz w:val="20"/>
          <w:szCs w:val="20"/>
        </w:rPr>
        <w:t xml:space="preserve"> peuvent prendre différentes formes, notamment la forme de : transformation, fusion, absorption, scission et liquidation. Le mode de renseignement des tableaux récapitulatifs 1 et 2 doit permettre à l'AMF de déterminer aisément la nature de </w:t>
      </w:r>
      <w:smartTag w:uri="urn:schemas-microsoft-com:office:smarttags" w:element="PersonName">
        <w:smartTagPr>
          <w:attr w:name="ProductID" w:val="la mutation. Cette"/>
        </w:smartTagPr>
        <w:r w:rsidRPr="00FA1E2E">
          <w:rPr>
            <w:rFonts w:asciiTheme="minorHAnsi" w:hAnsiTheme="minorHAnsi" w:cstheme="minorHAnsi"/>
            <w:sz w:val="20"/>
            <w:szCs w:val="20"/>
          </w:rPr>
          <w:t>la mutation. Cette</w:t>
        </w:r>
      </w:smartTag>
      <w:r w:rsidRPr="00FA1E2E">
        <w:rPr>
          <w:rFonts w:asciiTheme="minorHAnsi" w:hAnsiTheme="minorHAnsi" w:cstheme="minorHAnsi"/>
          <w:sz w:val="20"/>
          <w:szCs w:val="20"/>
        </w:rPr>
        <w:t xml:space="preserve"> dernière est en outre renseignée dans la dernière colonne de gauche. </w:t>
      </w:r>
    </w:p>
    <w:p w:rsidR="00FA1E2E" w:rsidRPr="00FA1E2E" w:rsidRDefault="00FA1E2E" w:rsidP="00FA1E2E">
      <w:pPr>
        <w:jc w:val="both"/>
        <w:rPr>
          <w:rFonts w:asciiTheme="minorHAnsi" w:hAnsiTheme="minorHAnsi" w:cstheme="minorHAnsi"/>
          <w:sz w:val="20"/>
          <w:szCs w:val="20"/>
        </w:rPr>
      </w:pPr>
      <w:r w:rsidRPr="00FA1E2E">
        <w:rPr>
          <w:rFonts w:asciiTheme="minorHAnsi" w:hAnsiTheme="minorHAnsi" w:cstheme="minorHAnsi"/>
          <w:sz w:val="20"/>
          <w:szCs w:val="20"/>
        </w:rPr>
        <w:t>Les exemples ci-dessous indiquent les modalités d’établissement des 2 tableaux récapitulatifs en cas de mutation.</w:t>
      </w:r>
    </w:p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1E2E" w:rsidRPr="00FA1E2E" w:rsidRDefault="00FA1E2E" w:rsidP="00FA1E2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1E2E">
        <w:rPr>
          <w:rFonts w:asciiTheme="minorHAnsi" w:hAnsiTheme="minorHAnsi" w:cstheme="minorHAnsi"/>
          <w:b/>
          <w:bCs/>
          <w:sz w:val="20"/>
          <w:szCs w:val="20"/>
        </w:rPr>
        <w:t>TABLEAU RÉCAPITULATIF 1 - Liste des OPCVM existants intervenant dans la mutation</w:t>
      </w:r>
    </w:p>
    <w:p w:rsidR="00FA1E2E" w:rsidRPr="00FA1E2E" w:rsidRDefault="00692590" w:rsidP="00FA1E2E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(A</w:t>
      </w:r>
      <w:r w:rsidR="00FA1E2E" w:rsidRPr="00FA1E2E">
        <w:rPr>
          <w:rFonts w:asciiTheme="minorHAnsi" w:hAnsiTheme="minorHAnsi" w:cstheme="minorHAnsi"/>
          <w:i/>
          <w:iCs/>
          <w:sz w:val="20"/>
          <w:szCs w:val="20"/>
        </w:rPr>
        <w:t xml:space="preserve">utant de lignes que de produits intervenant dans la mutation. Voir Annexe V pour les modalités d’établissement des 2 tableaux ci-dessous). Toutefois, il est conseillé </w:t>
      </w:r>
      <w:smartTag w:uri="urn:schemas-microsoft-com:office:smarttags" w:element="PersonName">
        <w:smartTagPr>
          <w:attr w:name="ProductID" w:val="de limiter le"/>
        </w:smartTagPr>
        <w:r w:rsidR="00FA1E2E" w:rsidRPr="00FA1E2E">
          <w:rPr>
            <w:rFonts w:asciiTheme="minorHAnsi" w:hAnsiTheme="minorHAnsi" w:cstheme="minorHAnsi"/>
            <w:i/>
            <w:iCs/>
            <w:sz w:val="20"/>
            <w:szCs w:val="20"/>
          </w:rPr>
          <w:t>de limiter le</w:t>
        </w:r>
      </w:smartTag>
      <w:r w:rsidR="00FA1E2E" w:rsidRPr="00FA1E2E">
        <w:rPr>
          <w:rFonts w:asciiTheme="minorHAnsi" w:hAnsiTheme="minorHAnsi" w:cstheme="minorHAnsi"/>
          <w:i/>
          <w:iCs/>
          <w:sz w:val="20"/>
          <w:szCs w:val="20"/>
        </w:rPr>
        <w:t xml:space="preserve"> nombre de produits à 20. Ainsi, il conviendra d’établir autant de fiches que nécessaire afin de respecter cette limitation (par exemple, deux fiches pour 40 produits, 3 fiches pour 60 produits, etc.)</w:t>
      </w:r>
    </w:p>
    <w:p w:rsidR="00922AD8" w:rsidRPr="00FA1E2E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2671"/>
        <w:gridCol w:w="1510"/>
        <w:gridCol w:w="1204"/>
        <w:gridCol w:w="1551"/>
        <w:gridCol w:w="2283"/>
      </w:tblGrid>
      <w:tr w:rsidR="00692590" w:rsidRPr="00692590" w:rsidTr="00A54BBC">
        <w:trPr>
          <w:trHeight w:val="740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ISIN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Dénomination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entrée de la mutation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 soldé à l’issue de la mutation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Nature de la mutation</w:t>
            </w:r>
          </w:p>
        </w:tc>
      </w:tr>
      <w:tr w:rsidR="00692590" w:rsidRPr="00692590" w:rsidTr="00A54BBC">
        <w:trPr>
          <w:trHeight w:val="340"/>
        </w:trPr>
        <w:tc>
          <w:tcPr>
            <w:tcW w:w="1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 xml:space="preserve">Cas 1 (fusion par création d’un nouvel </w:t>
            </w:r>
            <w:smartTag w:uri="urn:schemas-microsoft-com:office:smarttags" w:element="PersonName">
              <w:r w:rsidRPr="00692590">
                <w:rPr>
                  <w:rFonts w:asciiTheme="minorHAnsi" w:hAnsiTheme="minorHAnsi" w:cstheme="minorHAnsi"/>
                  <w:sz w:val="20"/>
                  <w:szCs w:val="20"/>
                </w:rPr>
                <w:t>OPCVM</w:t>
              </w:r>
            </w:smartTag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Entité A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 xml:space="preserve">A fusionne avec B </w:t>
            </w:r>
          </w:p>
        </w:tc>
      </w:tr>
      <w:tr w:rsidR="00692590" w:rsidRPr="00692590" w:rsidTr="00A54BBC">
        <w:trPr>
          <w:trHeight w:val="340"/>
        </w:trPr>
        <w:tc>
          <w:tcPr>
            <w:tcW w:w="1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Entité B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1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340"/>
        </w:trPr>
        <w:tc>
          <w:tcPr>
            <w:tcW w:w="1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Cas 2 (fusion-absorption)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Entité C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C absorbe D</w:t>
            </w:r>
          </w:p>
        </w:tc>
      </w:tr>
      <w:tr w:rsidR="00692590" w:rsidRPr="00692590" w:rsidTr="00A54BBC">
        <w:trPr>
          <w:trHeight w:val="340"/>
        </w:trPr>
        <w:tc>
          <w:tcPr>
            <w:tcW w:w="1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Entité D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1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340"/>
        </w:trPr>
        <w:tc>
          <w:tcPr>
            <w:tcW w:w="1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Cas 3 (scission)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Entité E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E fait scission et est dissoute</w:t>
            </w:r>
          </w:p>
        </w:tc>
      </w:tr>
      <w:tr w:rsidR="00692590" w:rsidRPr="00692590" w:rsidTr="00A54BBC">
        <w:trPr>
          <w:trHeight w:val="340"/>
        </w:trPr>
        <w:tc>
          <w:tcPr>
            <w:tcW w:w="1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Entité F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340"/>
        </w:trPr>
        <w:tc>
          <w:tcPr>
            <w:tcW w:w="1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Entité G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1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340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Cas 4 (dissolution)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Entité H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H se dissout</w:t>
            </w:r>
          </w:p>
        </w:tc>
      </w:tr>
      <w:tr w:rsidR="00692590" w:rsidRPr="00692590" w:rsidTr="00A54BBC">
        <w:trPr>
          <w:trHeight w:val="1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340"/>
        </w:trPr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Cas 5 (transformation)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Entité I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I se transforme</w:t>
            </w:r>
          </w:p>
        </w:tc>
      </w:tr>
    </w:tbl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590" w:rsidRPr="00692590" w:rsidRDefault="00692590" w:rsidP="0069259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92590">
        <w:rPr>
          <w:rFonts w:asciiTheme="minorHAnsi" w:hAnsiTheme="minorHAnsi" w:cstheme="minorHAnsi"/>
          <w:b/>
          <w:bCs/>
          <w:sz w:val="20"/>
          <w:szCs w:val="20"/>
        </w:rPr>
        <w:t>TABLEAU RÉCAPITULATIF 2 - Liste des OPCVM créé(s) dans l’opération</w:t>
      </w:r>
    </w:p>
    <w:p w:rsidR="00692590" w:rsidRPr="00692590" w:rsidRDefault="00692590" w:rsidP="00692590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(P</w:t>
      </w:r>
      <w:r w:rsidRPr="00692590">
        <w:rPr>
          <w:rFonts w:asciiTheme="minorHAnsi" w:hAnsiTheme="minorHAnsi" w:cstheme="minorHAnsi"/>
          <w:i/>
          <w:iCs/>
          <w:sz w:val="20"/>
          <w:szCs w:val="20"/>
        </w:rPr>
        <w:t>our chaque OPCVM créé, remplir l’annexe I)</w:t>
      </w:r>
    </w:p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915"/>
        <w:gridCol w:w="4907"/>
      </w:tblGrid>
      <w:tr w:rsidR="00692590" w:rsidRPr="00692590" w:rsidTr="00A54BBC">
        <w:trPr>
          <w:trHeight w:val="340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Dénomination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340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Entité B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NB</w:t>
            </w: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 xml:space="preserve"> : L’entité E préexistant à l’opération, elle n’a pas à être intégrée dans ce tableau qui n’informe que de la création des nouvelles entités. Les entités inscrites dans le tableau récapitulatif 2 doivent renseigner l’Annexe I. </w:t>
            </w:r>
          </w:p>
        </w:tc>
      </w:tr>
      <w:tr w:rsidR="00692590" w:rsidRPr="00692590" w:rsidTr="00A54BBC">
        <w:trPr>
          <w:trHeight w:val="340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340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Entité F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380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380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2590">
              <w:rPr>
                <w:rFonts w:asciiTheme="minorHAnsi" w:hAnsiTheme="minorHAnsi" w:cstheme="minorHAnsi"/>
                <w:sz w:val="20"/>
                <w:szCs w:val="20"/>
              </w:rPr>
              <w:t>Entité G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380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590" w:rsidRPr="00692590" w:rsidTr="00A54BBC">
        <w:trPr>
          <w:trHeight w:val="380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692590" w:rsidRPr="00692590" w:rsidRDefault="00692590" w:rsidP="006925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1A7E20" w:rsidRDefault="00922AD8" w:rsidP="001A7E20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22AD8" w:rsidRPr="001A7E20" w:rsidSect="00081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76" w:rsidRDefault="008B0776">
      <w:r>
        <w:separator/>
      </w:r>
    </w:p>
  </w:endnote>
  <w:endnote w:type="continuationSeparator" w:id="0">
    <w:p w:rsidR="008B0776" w:rsidRDefault="008B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03" w:rsidRDefault="009E28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20008729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430814111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E2803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E2803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1200085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E2803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E2803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76" w:rsidRDefault="008B0776">
      <w:r>
        <w:separator/>
      </w:r>
    </w:p>
  </w:footnote>
  <w:footnote w:type="continuationSeparator" w:id="0">
    <w:p w:rsidR="008B0776" w:rsidRDefault="008B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03" w:rsidRDefault="009E28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2AD8" w:rsidRPr="00922AD8" w:rsidRDefault="009E2803">
    <w:pPr>
      <w:pStyle w:val="En-tte"/>
      <w:rPr>
        <w:rFonts w:asciiTheme="minorHAnsi" w:hAnsiTheme="minorHAnsi" w:cstheme="minorHAnsi"/>
        <w:sz w:val="18"/>
        <w:szCs w:val="18"/>
      </w:rPr>
    </w:pPr>
    <w:r w:rsidRPr="009E2803">
      <w:rPr>
        <w:rFonts w:asciiTheme="minorHAnsi" w:hAnsiTheme="minorHAnsi" w:cstheme="minorHAnsi"/>
        <w:sz w:val="18"/>
        <w:szCs w:val="18"/>
      </w:rPr>
      <w:t xml:space="preserve">Modalités d’établissement des formulaires en cas de mutation </w:t>
    </w:r>
    <w:r>
      <w:rPr>
        <w:rFonts w:asciiTheme="minorHAnsi" w:hAnsiTheme="minorHAnsi" w:cstheme="minorHAnsi"/>
        <w:sz w:val="18"/>
        <w:szCs w:val="18"/>
      </w:rPr>
      <w:t xml:space="preserve">- </w:t>
    </w:r>
    <w:r w:rsidR="001A7E20">
      <w:rPr>
        <w:rFonts w:asciiTheme="minorHAnsi" w:hAnsiTheme="minorHAnsi" w:cstheme="minorHAnsi"/>
        <w:sz w:val="18"/>
        <w:szCs w:val="18"/>
      </w:rPr>
      <w:t>Annexe VI bis de l’instruction AMF</w:t>
    </w:r>
    <w:r w:rsidR="00922AD8" w:rsidRPr="00922AD8">
      <w:rPr>
        <w:rFonts w:asciiTheme="minorHAnsi" w:hAnsiTheme="minorHAnsi" w:cstheme="minorHAnsi"/>
        <w:sz w:val="18"/>
        <w:szCs w:val="18"/>
      </w:rPr>
      <w:t xml:space="preserve"> - </w:t>
    </w:r>
    <w:bookmarkStart w:id="0" w:name="_GoBack"/>
    <w:bookmarkEnd w:id="0"/>
    <w:r w:rsidR="001A7E20" w:rsidRPr="001A7E20">
      <w:rPr>
        <w:rFonts w:asciiTheme="minorHAnsi" w:hAnsiTheme="minorHAnsi" w:cstheme="minorHAnsi"/>
        <w:sz w:val="18"/>
        <w:szCs w:val="18"/>
      </w:rPr>
      <w:t>DOC-</w:t>
    </w:r>
    <w:r w:rsidR="001A7E20">
      <w:rPr>
        <w:rFonts w:asciiTheme="minorHAnsi" w:hAnsiTheme="minorHAnsi" w:cstheme="minorHAnsi"/>
        <w:sz w:val="18"/>
        <w:szCs w:val="18"/>
      </w:rPr>
      <w:t>2011</w:t>
    </w:r>
    <w:r w:rsidR="001A7E20" w:rsidRPr="001A7E20">
      <w:rPr>
        <w:rFonts w:asciiTheme="minorHAnsi" w:hAnsiTheme="minorHAnsi" w:cstheme="minorHAnsi"/>
        <w:sz w:val="18"/>
        <w:szCs w:val="18"/>
      </w:rPr>
      <w:t>-</w:t>
    </w:r>
    <w:r w:rsidR="001A7E20">
      <w:rPr>
        <w:rFonts w:asciiTheme="minorHAnsi" w:hAnsiTheme="minorHAnsi" w:cstheme="minorHAnsi"/>
        <w:sz w:val="18"/>
        <w:szCs w:val="18"/>
      </w:rPr>
      <w:t>19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C390D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15pt;height:28.15pt" o:bullet="t">
        <v:imagedata r:id="rId1" o:title="Flêche_AMF_blc"/>
      </v:shape>
    </w:pict>
  </w:numPicBullet>
  <w:numPicBullet w:numPicBulletId="1">
    <w:pict>
      <v:shape id="_x0000_i1027" type="#_x0000_t75" style="width:2.5pt;height:2.5pt" o:bullet="t">
        <v:imagedata r:id="rId2" o:title="Fleche_prune copie"/>
      </v:shape>
    </w:pict>
  </w:numPicBullet>
  <w:numPicBullet w:numPicBulletId="2">
    <w:pict>
      <v:shape w14:anchorId="5E9464C7" id="_x0000_i1028" type="#_x0000_t75" style="width:28.15pt;height:28.15pt" o:bullet="t">
        <v:imagedata r:id="rId3" o:title="Fleche_jaune"/>
      </v:shape>
    </w:pict>
  </w:numPicBullet>
  <w:numPicBullet w:numPicBulletId="3">
    <w:pict>
      <v:shape id="_x0000_i1029" type="#_x0000_t75" style="width:28.15pt;height:28.15pt" o:bullet="t">
        <v:imagedata r:id="rId4" o:title="Fleche_aubergine"/>
      </v:shape>
    </w:pict>
  </w:numPicBullet>
  <w:numPicBullet w:numPicBulletId="4">
    <w:pict>
      <v:shape id="_x0000_i1030" type="#_x0000_t75" style="width:28.15pt;height:28.1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0"/>
  </w:num>
  <w:num w:numId="5">
    <w:abstractNumId w:val="33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29"/>
  </w:num>
  <w:num w:numId="25">
    <w:abstractNumId w:val="26"/>
  </w:num>
  <w:num w:numId="26">
    <w:abstractNumId w:val="32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1"/>
  </w:num>
  <w:num w:numId="32">
    <w:abstractNumId w:val="23"/>
  </w:num>
  <w:num w:numId="33">
    <w:abstractNumId w:val="27"/>
  </w:num>
  <w:num w:numId="34">
    <w:abstractNumId w:val="17"/>
  </w:num>
  <w:num w:numId="35">
    <w:abstractNumId w:val="28"/>
  </w:num>
  <w:num w:numId="36">
    <w:abstractNumId w:val="21"/>
  </w:num>
  <w:num w:numId="37">
    <w:abstractNumId w:val="19"/>
  </w:num>
  <w:num w:numId="3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21DEC"/>
    <w:rsid w:val="00030BC5"/>
    <w:rsid w:val="00041B0E"/>
    <w:rsid w:val="00060F10"/>
    <w:rsid w:val="00061209"/>
    <w:rsid w:val="000767FD"/>
    <w:rsid w:val="00081395"/>
    <w:rsid w:val="000B7F59"/>
    <w:rsid w:val="000F3F43"/>
    <w:rsid w:val="00105E07"/>
    <w:rsid w:val="0013025C"/>
    <w:rsid w:val="00133FF8"/>
    <w:rsid w:val="001A7E20"/>
    <w:rsid w:val="0023233D"/>
    <w:rsid w:val="002434A6"/>
    <w:rsid w:val="002F705A"/>
    <w:rsid w:val="00365120"/>
    <w:rsid w:val="003B0015"/>
    <w:rsid w:val="00460571"/>
    <w:rsid w:val="005009B5"/>
    <w:rsid w:val="00511597"/>
    <w:rsid w:val="00593EDE"/>
    <w:rsid w:val="005C1100"/>
    <w:rsid w:val="005C6282"/>
    <w:rsid w:val="0066464A"/>
    <w:rsid w:val="00684FDF"/>
    <w:rsid w:val="00692590"/>
    <w:rsid w:val="006C4987"/>
    <w:rsid w:val="006E6631"/>
    <w:rsid w:val="007211C5"/>
    <w:rsid w:val="0075127A"/>
    <w:rsid w:val="007759C7"/>
    <w:rsid w:val="007C2CD0"/>
    <w:rsid w:val="00826BA0"/>
    <w:rsid w:val="00835FC9"/>
    <w:rsid w:val="008A64B6"/>
    <w:rsid w:val="008B0776"/>
    <w:rsid w:val="008B2E32"/>
    <w:rsid w:val="00922AD8"/>
    <w:rsid w:val="009522A4"/>
    <w:rsid w:val="0097706F"/>
    <w:rsid w:val="009D35DA"/>
    <w:rsid w:val="009E2803"/>
    <w:rsid w:val="00A375FC"/>
    <w:rsid w:val="00A52761"/>
    <w:rsid w:val="00AC2B18"/>
    <w:rsid w:val="00AF529B"/>
    <w:rsid w:val="00C109BF"/>
    <w:rsid w:val="00C96044"/>
    <w:rsid w:val="00D52CFD"/>
    <w:rsid w:val="00D55321"/>
    <w:rsid w:val="00D80A91"/>
    <w:rsid w:val="00E049BB"/>
    <w:rsid w:val="00E1204F"/>
    <w:rsid w:val="00E46668"/>
    <w:rsid w:val="00E66D10"/>
    <w:rsid w:val="00E74AAB"/>
    <w:rsid w:val="00E91345"/>
    <w:rsid w:val="00FA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F18D96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rsid w:val="0097706F"/>
  </w:style>
  <w:style w:type="character" w:customStyle="1" w:styleId="NotedebasdepageCar">
    <w:name w:val="Note de bas de page Car"/>
    <w:basedOn w:val="Policepardfaut"/>
    <w:link w:val="Notedebasdepage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9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5</cp:revision>
  <cp:lastPrinted>2010-11-05T13:58:00Z</cp:lastPrinted>
  <dcterms:created xsi:type="dcterms:W3CDTF">2019-08-29T13:43:00Z</dcterms:created>
  <dcterms:modified xsi:type="dcterms:W3CDTF">2019-09-05T10:55:00Z</dcterms:modified>
</cp:coreProperties>
</file>