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3924B" w14:textId="1EBA279D" w:rsidR="000F5CA6" w:rsidRPr="008E08B3" w:rsidRDefault="00736E92" w:rsidP="000F5CA6">
      <w:pPr>
        <w:pBdr>
          <w:bottom w:val="single" w:sz="8" w:space="4" w:color="4F81BD" w:themeColor="accent1"/>
        </w:pBdr>
        <w:spacing w:after="300" w:line="240" w:lineRule="auto"/>
        <w:contextualSpacing/>
        <w:jc w:val="both"/>
        <w:rPr>
          <w:rFonts w:asciiTheme="majorHAnsi" w:hAnsiTheme="majorHAnsi" w:cstheme="majorBidi"/>
          <w:color w:val="17365D" w:themeColor="text2" w:themeShade="BF"/>
          <w:spacing w:val="5"/>
          <w:kern w:val="28"/>
          <w:sz w:val="32"/>
          <w:szCs w:val="32"/>
          <w:lang w:val="en-US"/>
        </w:rPr>
      </w:pPr>
      <w:r>
        <w:rPr>
          <w:rFonts w:asciiTheme="majorHAnsi" w:hAnsiTheme="majorHAnsi" w:cstheme="majorBidi"/>
          <w:color w:val="17365D" w:themeColor="text2" w:themeShade="BF"/>
          <w:kern w:val="28"/>
          <w:sz w:val="32"/>
          <w:szCs w:val="32"/>
          <w:lang w:val="en-GB"/>
        </w:rPr>
        <w:t xml:space="preserve">Can </w:t>
      </w:r>
      <w:r w:rsidR="00912086">
        <w:rPr>
          <w:rFonts w:asciiTheme="majorHAnsi" w:hAnsiTheme="majorHAnsi" w:cstheme="majorBidi"/>
          <w:color w:val="17365D" w:themeColor="text2" w:themeShade="BF"/>
          <w:kern w:val="28"/>
          <w:sz w:val="32"/>
          <w:szCs w:val="32"/>
          <w:lang w:val="en-GB"/>
        </w:rPr>
        <w:t>an</w:t>
      </w:r>
      <w:r>
        <w:rPr>
          <w:rFonts w:asciiTheme="majorHAnsi" w:hAnsiTheme="majorHAnsi" w:cstheme="majorBidi"/>
          <w:color w:val="17365D" w:themeColor="text2" w:themeShade="BF"/>
          <w:kern w:val="28"/>
          <w:sz w:val="32"/>
          <w:szCs w:val="32"/>
          <w:lang w:val="en-GB"/>
        </w:rPr>
        <w:t xml:space="preserve"> accoun</w:t>
      </w:r>
      <w:bookmarkStart w:id="0" w:name="_GoBack"/>
      <w:bookmarkEnd w:id="0"/>
      <w:r>
        <w:rPr>
          <w:rFonts w:asciiTheme="majorHAnsi" w:hAnsiTheme="majorHAnsi" w:cstheme="majorBidi"/>
          <w:color w:val="17365D" w:themeColor="text2" w:themeShade="BF"/>
          <w:kern w:val="28"/>
          <w:sz w:val="32"/>
          <w:szCs w:val="32"/>
          <w:lang w:val="en-GB"/>
        </w:rPr>
        <w:t xml:space="preserve">t-keeping institution be held liable for the ineligibility of securities held in a PEA after subscription?  </w:t>
      </w:r>
    </w:p>
    <w:p w14:paraId="71703EFB" w14:textId="77777777" w:rsidR="000F5CA6" w:rsidRPr="008E08B3" w:rsidRDefault="000F5CA6" w:rsidP="000F5CA6">
      <w:pPr>
        <w:autoSpaceDE w:val="0"/>
        <w:autoSpaceDN w:val="0"/>
        <w:adjustRightInd w:val="0"/>
        <w:spacing w:after="0" w:line="240" w:lineRule="atLeast"/>
        <w:jc w:val="both"/>
        <w:rPr>
          <w:rFonts w:ascii="Arial" w:eastAsia="Times" w:hAnsi="Arial" w:cs="Arial"/>
          <w:sz w:val="18"/>
          <w:szCs w:val="18"/>
          <w:lang w:val="en-US"/>
        </w:rPr>
      </w:pPr>
    </w:p>
    <w:p w14:paraId="7A2D0736" w14:textId="0E380B51" w:rsidR="000F5CA6" w:rsidRPr="008E08B3" w:rsidRDefault="00736E92" w:rsidP="000F5CA6">
      <w:pPr>
        <w:autoSpaceDE w:val="0"/>
        <w:autoSpaceDN w:val="0"/>
        <w:adjustRightInd w:val="0"/>
        <w:spacing w:after="0" w:line="240" w:lineRule="atLeast"/>
        <w:jc w:val="both"/>
        <w:rPr>
          <w:rFonts w:ascii="Arial" w:eastAsia="Times" w:hAnsi="Arial" w:cs="Arial"/>
          <w:sz w:val="18"/>
          <w:szCs w:val="18"/>
          <w:lang w:val="en-US"/>
        </w:rPr>
      </w:pPr>
      <w:r>
        <w:rPr>
          <w:rFonts w:ascii="Arial" w:eastAsia="Times" w:hAnsi="Arial" w:cs="Arial"/>
          <w:sz w:val="18"/>
          <w:szCs w:val="18"/>
          <w:lang w:val="en-GB"/>
        </w:rPr>
        <w:t>In return for the tax benefits granted to subscribers to a PEA savings plan, they are constrained in the choice of securities allowed in their accounts. Retail investors may therefore only choose to invest through their PEA in securities that are eligible under the criteria defined by the regulations.</w:t>
      </w:r>
      <w:r>
        <w:rPr>
          <w:rStyle w:val="Appelnotedebasdep"/>
          <w:rFonts w:ascii="Arial" w:eastAsia="Times" w:hAnsi="Arial" w:cs="Arial"/>
          <w:sz w:val="18"/>
          <w:szCs w:val="18"/>
          <w:lang w:val="en-GB"/>
        </w:rPr>
        <w:footnoteReference w:id="1"/>
      </w:r>
      <w:r>
        <w:rPr>
          <w:rFonts w:ascii="Arial" w:eastAsia="Times" w:hAnsi="Arial" w:cs="Arial"/>
          <w:sz w:val="18"/>
          <w:szCs w:val="18"/>
          <w:lang w:val="en-GB"/>
        </w:rPr>
        <w:t xml:space="preserve"> While this investment constraint is well understood at the time of subscription, what happens when the subscribed security changes and in particular when it becomes ineligible for a PEA? What recourse does the retail investor have? Can the account-keeping institution be held liable when it has informed retail investors that the security has become ineligible? </w:t>
      </w:r>
    </w:p>
    <w:p w14:paraId="2C7A8F57" w14:textId="77777777" w:rsidR="003E35DF" w:rsidRPr="008E08B3" w:rsidRDefault="003E35DF" w:rsidP="000F5CA6">
      <w:pPr>
        <w:autoSpaceDE w:val="0"/>
        <w:autoSpaceDN w:val="0"/>
        <w:adjustRightInd w:val="0"/>
        <w:spacing w:after="0" w:line="240" w:lineRule="atLeast"/>
        <w:jc w:val="both"/>
        <w:rPr>
          <w:rFonts w:ascii="Arial" w:eastAsia="Times" w:hAnsi="Arial" w:cs="Arial"/>
          <w:sz w:val="18"/>
          <w:szCs w:val="18"/>
          <w:lang w:val="en-US"/>
        </w:rPr>
      </w:pPr>
    </w:p>
    <w:p w14:paraId="74D9C5A8" w14:textId="77777777" w:rsidR="003D5F6F" w:rsidRPr="008E08B3" w:rsidRDefault="003E35DF" w:rsidP="003D5F6F">
      <w:pPr>
        <w:autoSpaceDE w:val="0"/>
        <w:autoSpaceDN w:val="0"/>
        <w:adjustRightInd w:val="0"/>
        <w:spacing w:after="0" w:line="240" w:lineRule="atLeast"/>
        <w:jc w:val="both"/>
        <w:rPr>
          <w:rFonts w:ascii="Arial" w:eastAsia="Times" w:hAnsi="Arial" w:cs="Arial"/>
          <w:sz w:val="18"/>
          <w:szCs w:val="18"/>
          <w:lang w:val="en-US"/>
        </w:rPr>
      </w:pPr>
      <w:r>
        <w:rPr>
          <w:rFonts w:ascii="Arial" w:eastAsia="Times" w:hAnsi="Arial" w:cs="Arial"/>
          <w:sz w:val="18"/>
          <w:szCs w:val="18"/>
          <w:lang w:val="en-GB"/>
        </w:rPr>
        <w:t xml:space="preserve">These are the questions raised in the case I am presenting to you this month. </w:t>
      </w:r>
    </w:p>
    <w:p w14:paraId="6180C20E" w14:textId="77777777" w:rsidR="003D5F6F" w:rsidRPr="008E08B3" w:rsidRDefault="003D5F6F" w:rsidP="003D5F6F">
      <w:pPr>
        <w:autoSpaceDE w:val="0"/>
        <w:autoSpaceDN w:val="0"/>
        <w:adjustRightInd w:val="0"/>
        <w:spacing w:after="0" w:line="240" w:lineRule="atLeast"/>
        <w:jc w:val="both"/>
        <w:rPr>
          <w:rFonts w:ascii="Arial" w:eastAsia="Times" w:hAnsi="Arial" w:cs="Arial"/>
          <w:sz w:val="18"/>
          <w:szCs w:val="18"/>
          <w:lang w:val="en-US"/>
        </w:rPr>
      </w:pPr>
    </w:p>
    <w:p w14:paraId="23A16F06" w14:textId="77777777" w:rsidR="000F5CA6" w:rsidRPr="008E08B3" w:rsidRDefault="000F5CA6" w:rsidP="003D5F6F">
      <w:pPr>
        <w:autoSpaceDE w:val="0"/>
        <w:autoSpaceDN w:val="0"/>
        <w:adjustRightInd w:val="0"/>
        <w:spacing w:after="0" w:line="240" w:lineRule="atLeast"/>
        <w:jc w:val="both"/>
        <w:rPr>
          <w:rFonts w:ascii="Arial" w:eastAsia="Times" w:hAnsi="Arial" w:cs="Arial"/>
          <w:sz w:val="18"/>
          <w:szCs w:val="18"/>
          <w:lang w:val="en-US"/>
        </w:rPr>
      </w:pPr>
      <w:r>
        <w:rPr>
          <w:rFonts w:asciiTheme="majorHAnsi" w:eastAsiaTheme="majorEastAsia" w:hAnsiTheme="majorHAnsi" w:cstheme="majorBidi"/>
          <w:b/>
          <w:bCs/>
          <w:color w:val="365F91" w:themeColor="accent1" w:themeShade="BF"/>
          <w:sz w:val="28"/>
          <w:szCs w:val="28"/>
          <w:lang w:val="en-GB"/>
        </w:rPr>
        <w:t>The facts</w:t>
      </w:r>
    </w:p>
    <w:p w14:paraId="032D0E27" w14:textId="77777777" w:rsidR="00F103A0" w:rsidRPr="008E08B3" w:rsidRDefault="00F103A0" w:rsidP="00F103A0">
      <w:pPr>
        <w:autoSpaceDE w:val="0"/>
        <w:autoSpaceDN w:val="0"/>
        <w:adjustRightInd w:val="0"/>
        <w:spacing w:after="0" w:line="240" w:lineRule="atLeast"/>
        <w:jc w:val="both"/>
        <w:rPr>
          <w:rFonts w:ascii="Arial" w:eastAsia="Times" w:hAnsi="Arial" w:cs="Arial"/>
          <w:sz w:val="18"/>
          <w:szCs w:val="18"/>
          <w:lang w:val="en-US"/>
        </w:rPr>
      </w:pPr>
    </w:p>
    <w:p w14:paraId="7284A0E4" w14:textId="77777777" w:rsidR="00F103A0" w:rsidRPr="008E08B3" w:rsidRDefault="00E95542" w:rsidP="00F103A0">
      <w:pPr>
        <w:autoSpaceDE w:val="0"/>
        <w:autoSpaceDN w:val="0"/>
        <w:adjustRightInd w:val="0"/>
        <w:spacing w:after="0" w:line="240" w:lineRule="atLeast"/>
        <w:jc w:val="both"/>
        <w:rPr>
          <w:rFonts w:ascii="Arial" w:eastAsia="Times" w:hAnsi="Arial" w:cs="Arial"/>
          <w:sz w:val="18"/>
          <w:szCs w:val="18"/>
          <w:lang w:val="en-US"/>
        </w:rPr>
      </w:pPr>
      <w:r>
        <w:rPr>
          <w:rFonts w:ascii="Arial" w:eastAsia="Times" w:hAnsi="Arial" w:cs="Arial"/>
          <w:sz w:val="18"/>
          <w:szCs w:val="18"/>
          <w:lang w:val="en-GB"/>
        </w:rPr>
        <w:t>On 5 October 2017, Bank Z suggested that Mr X. open an SME-PEA</w:t>
      </w:r>
      <w:r>
        <w:rPr>
          <w:rStyle w:val="Appelnotedebasdep"/>
          <w:rFonts w:ascii="Arial" w:eastAsia="Times" w:hAnsi="Arial" w:cs="Arial"/>
          <w:sz w:val="18"/>
          <w:szCs w:val="18"/>
          <w:lang w:val="en-GB"/>
        </w:rPr>
        <w:footnoteReference w:id="2"/>
      </w:r>
      <w:r>
        <w:rPr>
          <w:rFonts w:ascii="Arial" w:eastAsia="Times" w:hAnsi="Arial" w:cs="Arial"/>
          <w:sz w:val="18"/>
          <w:szCs w:val="18"/>
          <w:lang w:val="en-GB"/>
        </w:rPr>
        <w:t xml:space="preserve"> in order to diversify his savings, and recommended that he acquire units in Fund Y to be held in this SME-PEA for an amount of €10,000. </w:t>
      </w:r>
    </w:p>
    <w:p w14:paraId="651D49E8" w14:textId="77777777" w:rsidR="00F103A0" w:rsidRPr="008E08B3" w:rsidRDefault="00F103A0" w:rsidP="00F103A0">
      <w:pPr>
        <w:autoSpaceDE w:val="0"/>
        <w:autoSpaceDN w:val="0"/>
        <w:adjustRightInd w:val="0"/>
        <w:spacing w:after="0" w:line="240" w:lineRule="atLeast"/>
        <w:jc w:val="both"/>
        <w:rPr>
          <w:rFonts w:ascii="Arial" w:eastAsia="Times" w:hAnsi="Arial" w:cs="Arial"/>
          <w:sz w:val="18"/>
          <w:szCs w:val="18"/>
          <w:lang w:val="en-US"/>
        </w:rPr>
      </w:pPr>
    </w:p>
    <w:p w14:paraId="2FA93C99" w14:textId="77777777" w:rsidR="00F103A0" w:rsidRPr="008E08B3" w:rsidRDefault="00F103A0" w:rsidP="00F103A0">
      <w:pPr>
        <w:autoSpaceDE w:val="0"/>
        <w:autoSpaceDN w:val="0"/>
        <w:adjustRightInd w:val="0"/>
        <w:spacing w:after="0" w:line="240" w:lineRule="atLeast"/>
        <w:jc w:val="both"/>
        <w:rPr>
          <w:rFonts w:ascii="Arial" w:eastAsia="Times" w:hAnsi="Arial" w:cs="Arial"/>
          <w:sz w:val="18"/>
          <w:szCs w:val="18"/>
          <w:lang w:val="en-US"/>
        </w:rPr>
      </w:pPr>
      <w:r>
        <w:rPr>
          <w:rFonts w:ascii="Arial" w:eastAsia="Times" w:hAnsi="Arial" w:cs="Arial"/>
          <w:sz w:val="18"/>
          <w:szCs w:val="18"/>
          <w:lang w:val="en-GB"/>
        </w:rPr>
        <w:t xml:space="preserve">On 22 February 2019, the retail investor received a letter from the investment management company of Fund Y informing him that the fund had just become ineligible for the SME-PEA. On 12 April 2019, Bank Z confirmed this to Mr X. </w:t>
      </w:r>
    </w:p>
    <w:p w14:paraId="0A8681F7" w14:textId="77777777" w:rsidR="00F103A0" w:rsidRPr="008E08B3" w:rsidRDefault="00F103A0" w:rsidP="00F103A0">
      <w:pPr>
        <w:autoSpaceDE w:val="0"/>
        <w:autoSpaceDN w:val="0"/>
        <w:adjustRightInd w:val="0"/>
        <w:spacing w:after="0" w:line="240" w:lineRule="atLeast"/>
        <w:jc w:val="both"/>
        <w:rPr>
          <w:rFonts w:ascii="Arial" w:eastAsia="Times" w:hAnsi="Arial" w:cs="Arial"/>
          <w:sz w:val="18"/>
          <w:szCs w:val="18"/>
          <w:lang w:val="en-US"/>
        </w:rPr>
      </w:pPr>
    </w:p>
    <w:p w14:paraId="6534A60A" w14:textId="1758309A" w:rsidR="00F103A0" w:rsidRPr="008E08B3" w:rsidRDefault="00EA155E" w:rsidP="00F103A0">
      <w:pPr>
        <w:autoSpaceDE w:val="0"/>
        <w:autoSpaceDN w:val="0"/>
        <w:adjustRightInd w:val="0"/>
        <w:spacing w:after="0" w:line="240" w:lineRule="atLeast"/>
        <w:jc w:val="both"/>
        <w:rPr>
          <w:rFonts w:ascii="Arial" w:eastAsia="Times" w:hAnsi="Arial" w:cs="Arial"/>
          <w:sz w:val="18"/>
          <w:szCs w:val="18"/>
          <w:lang w:val="en-US"/>
        </w:rPr>
      </w:pPr>
      <w:r>
        <w:rPr>
          <w:rFonts w:ascii="Arial" w:eastAsia="Times" w:hAnsi="Arial" w:cs="Arial"/>
          <w:sz w:val="18"/>
          <w:szCs w:val="18"/>
          <w:lang w:val="en-GB"/>
        </w:rPr>
        <w:t xml:space="preserve">The client </w:t>
      </w:r>
      <w:r w:rsidR="002C6437">
        <w:rPr>
          <w:rFonts w:ascii="Arial" w:eastAsia="Times" w:hAnsi="Arial" w:cs="Arial"/>
          <w:sz w:val="18"/>
          <w:szCs w:val="18"/>
          <w:lang w:val="en-GB"/>
        </w:rPr>
        <w:t>does</w:t>
      </w:r>
      <w:r>
        <w:rPr>
          <w:rFonts w:ascii="Arial" w:eastAsia="Times" w:hAnsi="Arial" w:cs="Arial"/>
          <w:sz w:val="18"/>
          <w:szCs w:val="18"/>
          <w:lang w:val="en-GB"/>
        </w:rPr>
        <w:t xml:space="preserve"> not understand this situation. He understood that funds initially eligible for the SME-PEA could not be changed without notice and without compensating subscribers. Furthermore, he believes that his account-keeping institution failed to fulfil its duty of information by recommending, in 2017, that he invest in Fund Y, a fund that subsequently became ineligible for the SME-PEA. </w:t>
      </w:r>
    </w:p>
    <w:p w14:paraId="2FD2A826" w14:textId="77777777" w:rsidR="00F103A0" w:rsidRPr="008E08B3" w:rsidRDefault="00F103A0" w:rsidP="00F103A0">
      <w:pPr>
        <w:autoSpaceDE w:val="0"/>
        <w:autoSpaceDN w:val="0"/>
        <w:adjustRightInd w:val="0"/>
        <w:spacing w:after="0" w:line="240" w:lineRule="atLeast"/>
        <w:jc w:val="both"/>
        <w:rPr>
          <w:rFonts w:ascii="Arial" w:eastAsia="Times" w:hAnsi="Arial" w:cs="Arial"/>
          <w:sz w:val="18"/>
          <w:szCs w:val="18"/>
          <w:lang w:val="en-US"/>
        </w:rPr>
      </w:pPr>
    </w:p>
    <w:p w14:paraId="3F897D77" w14:textId="687512E0" w:rsidR="00F103A0" w:rsidRPr="008E08B3" w:rsidRDefault="00F103A0" w:rsidP="00F103A0">
      <w:pPr>
        <w:autoSpaceDE w:val="0"/>
        <w:autoSpaceDN w:val="0"/>
        <w:adjustRightInd w:val="0"/>
        <w:spacing w:after="0" w:line="240" w:lineRule="atLeast"/>
        <w:jc w:val="both"/>
        <w:rPr>
          <w:rFonts w:ascii="Arial" w:eastAsia="Times" w:hAnsi="Arial" w:cs="Arial"/>
          <w:sz w:val="18"/>
          <w:szCs w:val="18"/>
          <w:lang w:val="en-US"/>
        </w:rPr>
      </w:pPr>
      <w:r>
        <w:rPr>
          <w:rFonts w:ascii="Arial" w:eastAsia="Times" w:hAnsi="Arial" w:cs="Arial"/>
          <w:sz w:val="18"/>
          <w:szCs w:val="18"/>
          <w:lang w:val="en-GB"/>
        </w:rPr>
        <w:t xml:space="preserve">As a result, he is seeking compensation from Bank Z. As the account-keeping institution did not want to </w:t>
      </w:r>
      <w:r w:rsidR="008E08B3">
        <w:rPr>
          <w:rFonts w:ascii="Arial" w:eastAsia="Times" w:hAnsi="Arial" w:cs="Arial"/>
          <w:sz w:val="18"/>
          <w:szCs w:val="18"/>
          <w:lang w:val="en-GB"/>
        </w:rPr>
        <w:t>accede to</w:t>
      </w:r>
      <w:r>
        <w:rPr>
          <w:rFonts w:ascii="Arial" w:eastAsia="Times" w:hAnsi="Arial" w:cs="Arial"/>
          <w:sz w:val="18"/>
          <w:szCs w:val="18"/>
          <w:lang w:val="en-GB"/>
        </w:rPr>
        <w:t xml:space="preserve"> his request, Mr X. requested my assistance with his case.</w:t>
      </w:r>
    </w:p>
    <w:p w14:paraId="189F18E5" w14:textId="77777777" w:rsidR="00F103A0" w:rsidRPr="008E08B3" w:rsidRDefault="00F103A0" w:rsidP="00F103A0">
      <w:pPr>
        <w:autoSpaceDE w:val="0"/>
        <w:autoSpaceDN w:val="0"/>
        <w:adjustRightInd w:val="0"/>
        <w:spacing w:after="0" w:line="240" w:lineRule="atLeast"/>
        <w:jc w:val="both"/>
        <w:rPr>
          <w:rFonts w:ascii="Arial" w:eastAsia="Times" w:hAnsi="Arial" w:cs="Arial"/>
          <w:sz w:val="18"/>
          <w:szCs w:val="18"/>
          <w:lang w:val="en-US"/>
        </w:rPr>
      </w:pPr>
    </w:p>
    <w:p w14:paraId="2A8ADACA" w14:textId="77777777" w:rsidR="0085174C" w:rsidRPr="008E08B3" w:rsidRDefault="0085174C" w:rsidP="0085174C">
      <w:pPr>
        <w:autoSpaceDE w:val="0"/>
        <w:autoSpaceDN w:val="0"/>
        <w:adjustRightInd w:val="0"/>
        <w:spacing w:after="0" w:line="240" w:lineRule="atLeast"/>
        <w:jc w:val="both"/>
        <w:rPr>
          <w:rFonts w:ascii="Arial" w:eastAsia="Times" w:hAnsi="Arial" w:cs="Arial"/>
          <w:sz w:val="18"/>
          <w:szCs w:val="18"/>
          <w:lang w:val="en-US"/>
        </w:rPr>
      </w:pPr>
      <w:r>
        <w:rPr>
          <w:rFonts w:ascii="Arial" w:eastAsia="Times" w:hAnsi="Arial" w:cs="Arial"/>
          <w:sz w:val="18"/>
          <w:szCs w:val="18"/>
          <w:lang w:val="en-GB"/>
        </w:rPr>
        <w:t>I asked Mr X.’s account-keeping institution to provide additional information on this case.</w:t>
      </w:r>
    </w:p>
    <w:p w14:paraId="2BF849CE" w14:textId="77777777" w:rsidR="0085174C" w:rsidRPr="008E08B3" w:rsidRDefault="0085174C" w:rsidP="0085174C">
      <w:pPr>
        <w:autoSpaceDE w:val="0"/>
        <w:autoSpaceDN w:val="0"/>
        <w:adjustRightInd w:val="0"/>
        <w:spacing w:after="0" w:line="240" w:lineRule="atLeast"/>
        <w:jc w:val="both"/>
        <w:rPr>
          <w:rFonts w:ascii="Arial" w:eastAsia="Times" w:hAnsi="Arial" w:cs="Arial"/>
          <w:sz w:val="18"/>
          <w:szCs w:val="18"/>
          <w:lang w:val="en-US"/>
        </w:rPr>
      </w:pPr>
    </w:p>
    <w:p w14:paraId="6F34362E" w14:textId="77777777" w:rsidR="000F5CA6" w:rsidRPr="008E08B3" w:rsidRDefault="000F5CA6" w:rsidP="0085174C">
      <w:pPr>
        <w:autoSpaceDE w:val="0"/>
        <w:autoSpaceDN w:val="0"/>
        <w:adjustRightInd w:val="0"/>
        <w:spacing w:after="0" w:line="240" w:lineRule="atLeast"/>
        <w:jc w:val="both"/>
        <w:rPr>
          <w:rFonts w:ascii="Arial" w:eastAsia="Times" w:hAnsi="Arial" w:cs="Arial"/>
          <w:sz w:val="18"/>
          <w:szCs w:val="18"/>
          <w:lang w:val="en-US"/>
        </w:rPr>
      </w:pPr>
      <w:r>
        <w:rPr>
          <w:rFonts w:asciiTheme="majorHAnsi" w:eastAsiaTheme="majorEastAsia" w:hAnsiTheme="majorHAnsi" w:cstheme="majorBidi"/>
          <w:b/>
          <w:bCs/>
          <w:color w:val="365F91" w:themeColor="accent1" w:themeShade="BF"/>
          <w:sz w:val="28"/>
          <w:szCs w:val="28"/>
          <w:lang w:val="en-GB"/>
        </w:rPr>
        <w:t>The investigation</w:t>
      </w:r>
    </w:p>
    <w:p w14:paraId="410F7474" w14:textId="77777777" w:rsidR="0085174C" w:rsidRPr="008E08B3" w:rsidRDefault="0085174C" w:rsidP="0085174C">
      <w:pPr>
        <w:autoSpaceDE w:val="0"/>
        <w:autoSpaceDN w:val="0"/>
        <w:adjustRightInd w:val="0"/>
        <w:spacing w:after="0" w:line="240" w:lineRule="atLeast"/>
        <w:jc w:val="both"/>
        <w:rPr>
          <w:rFonts w:ascii="Arial" w:eastAsia="Times" w:hAnsi="Arial" w:cs="Arial"/>
          <w:sz w:val="18"/>
          <w:szCs w:val="18"/>
          <w:lang w:val="en-US"/>
        </w:rPr>
      </w:pPr>
    </w:p>
    <w:p w14:paraId="08F355CB" w14:textId="5DD87E2F" w:rsidR="00D7160D" w:rsidRPr="008E08B3" w:rsidRDefault="0085174C" w:rsidP="00D7160D">
      <w:pPr>
        <w:autoSpaceDE w:val="0"/>
        <w:autoSpaceDN w:val="0"/>
        <w:adjustRightInd w:val="0"/>
        <w:spacing w:after="0" w:line="240" w:lineRule="atLeast"/>
        <w:jc w:val="both"/>
        <w:rPr>
          <w:rFonts w:ascii="Arial" w:eastAsia="Times" w:hAnsi="Arial" w:cs="Arial"/>
          <w:sz w:val="18"/>
          <w:szCs w:val="18"/>
          <w:lang w:val="en-US"/>
        </w:rPr>
      </w:pPr>
      <w:r>
        <w:rPr>
          <w:rFonts w:ascii="Arial" w:eastAsia="Times" w:hAnsi="Arial" w:cs="Arial"/>
          <w:sz w:val="18"/>
          <w:szCs w:val="18"/>
          <w:lang w:val="en-GB"/>
        </w:rPr>
        <w:t>Th</w:t>
      </w:r>
      <w:r w:rsidR="00912086">
        <w:rPr>
          <w:rFonts w:ascii="Arial" w:eastAsia="Times" w:hAnsi="Arial" w:cs="Arial"/>
          <w:sz w:val="18"/>
          <w:szCs w:val="18"/>
          <w:lang w:val="en-GB"/>
        </w:rPr>
        <w:t>e</w:t>
      </w:r>
      <w:r>
        <w:rPr>
          <w:rFonts w:ascii="Arial" w:eastAsia="Times" w:hAnsi="Arial" w:cs="Arial"/>
          <w:sz w:val="18"/>
          <w:szCs w:val="18"/>
          <w:lang w:val="en-GB"/>
        </w:rPr>
        <w:t xml:space="preserve"> institution confirmed to me that its client had responded to the investment management company’s decision to withdraw eligibility of its Fund Y for the SME-PEA, about which </w:t>
      </w:r>
      <w:r w:rsidR="00B94C7C">
        <w:rPr>
          <w:rFonts w:ascii="Arial" w:eastAsia="Times" w:hAnsi="Arial" w:cs="Arial"/>
          <w:sz w:val="18"/>
          <w:szCs w:val="18"/>
          <w:lang w:val="en-GB"/>
        </w:rPr>
        <w:t>the client</w:t>
      </w:r>
      <w:r>
        <w:rPr>
          <w:rFonts w:ascii="Arial" w:eastAsia="Times" w:hAnsi="Arial" w:cs="Arial"/>
          <w:sz w:val="18"/>
          <w:szCs w:val="18"/>
          <w:lang w:val="en-GB"/>
        </w:rPr>
        <w:t xml:space="preserve"> had been informed by letter dated 22 February 2019. The client sent a complaint by letter dated 1 April 2019</w:t>
      </w:r>
      <w:r w:rsidR="008E08B3">
        <w:rPr>
          <w:rFonts w:ascii="Arial" w:eastAsia="Times" w:hAnsi="Arial" w:cs="Arial"/>
          <w:sz w:val="18"/>
          <w:szCs w:val="18"/>
          <w:lang w:val="en-GB"/>
        </w:rPr>
        <w:t>,</w:t>
      </w:r>
      <w:r>
        <w:rPr>
          <w:rFonts w:ascii="Arial" w:eastAsia="Times" w:hAnsi="Arial" w:cs="Arial"/>
          <w:sz w:val="18"/>
          <w:szCs w:val="18"/>
          <w:lang w:val="en-GB"/>
        </w:rPr>
        <w:t xml:space="preserve"> to which the account-keeping institution replied by letter dated 12 April 2019. Bank Z provided me with all these letters. </w:t>
      </w:r>
    </w:p>
    <w:p w14:paraId="7A2F0371" w14:textId="77777777" w:rsidR="00D7160D" w:rsidRPr="008E08B3" w:rsidRDefault="00D7160D" w:rsidP="00D7160D">
      <w:pPr>
        <w:autoSpaceDE w:val="0"/>
        <w:autoSpaceDN w:val="0"/>
        <w:adjustRightInd w:val="0"/>
        <w:spacing w:after="0" w:line="240" w:lineRule="atLeast"/>
        <w:jc w:val="both"/>
        <w:rPr>
          <w:rFonts w:ascii="Arial" w:eastAsia="Times" w:hAnsi="Arial" w:cs="Arial"/>
          <w:sz w:val="18"/>
          <w:szCs w:val="18"/>
          <w:lang w:val="en-US"/>
        </w:rPr>
      </w:pPr>
    </w:p>
    <w:p w14:paraId="78A3F6D1" w14:textId="77777777" w:rsidR="00D7160D" w:rsidRPr="008E08B3" w:rsidRDefault="003E35DF" w:rsidP="00D7160D">
      <w:pPr>
        <w:autoSpaceDE w:val="0"/>
        <w:autoSpaceDN w:val="0"/>
        <w:adjustRightInd w:val="0"/>
        <w:spacing w:after="0" w:line="240" w:lineRule="atLeast"/>
        <w:jc w:val="both"/>
        <w:rPr>
          <w:rFonts w:ascii="Arial" w:eastAsia="Times" w:hAnsi="Arial" w:cs="Arial"/>
          <w:sz w:val="18"/>
          <w:szCs w:val="18"/>
          <w:lang w:val="en-US"/>
        </w:rPr>
      </w:pPr>
      <w:r>
        <w:rPr>
          <w:rFonts w:ascii="Arial" w:eastAsia="Times" w:hAnsi="Arial" w:cs="Arial"/>
          <w:sz w:val="18"/>
          <w:szCs w:val="18"/>
          <w:lang w:val="en-GB"/>
        </w:rPr>
        <w:t xml:space="preserve">Bank Z informed me that, subsequently and on the instructions of its client, the units of Fund Y were transferred from the client’s SME-PEA to his ordinary securities account. Mr X.’s SME-PEA could therefore remain open after repayment of an equivalent amount into the SME-PEA. </w:t>
      </w:r>
    </w:p>
    <w:p w14:paraId="45409800" w14:textId="77777777" w:rsidR="00D7160D" w:rsidRPr="008E08B3" w:rsidRDefault="00D7160D" w:rsidP="00D7160D">
      <w:pPr>
        <w:autoSpaceDE w:val="0"/>
        <w:autoSpaceDN w:val="0"/>
        <w:adjustRightInd w:val="0"/>
        <w:spacing w:after="0" w:line="240" w:lineRule="atLeast"/>
        <w:jc w:val="both"/>
        <w:rPr>
          <w:rFonts w:ascii="Arial" w:eastAsia="Times" w:hAnsi="Arial" w:cs="Arial"/>
          <w:sz w:val="18"/>
          <w:szCs w:val="18"/>
          <w:lang w:val="en-US"/>
        </w:rPr>
      </w:pPr>
    </w:p>
    <w:p w14:paraId="5A141D60" w14:textId="77777777" w:rsidR="00D7160D" w:rsidRPr="008E08B3" w:rsidRDefault="00D7160D" w:rsidP="00D7160D">
      <w:pPr>
        <w:autoSpaceDE w:val="0"/>
        <w:autoSpaceDN w:val="0"/>
        <w:adjustRightInd w:val="0"/>
        <w:spacing w:after="0" w:line="240" w:lineRule="atLeast"/>
        <w:jc w:val="both"/>
        <w:rPr>
          <w:rFonts w:ascii="Arial" w:eastAsia="Times" w:hAnsi="Arial" w:cs="Arial"/>
          <w:sz w:val="18"/>
          <w:szCs w:val="18"/>
          <w:lang w:val="en-US"/>
        </w:rPr>
      </w:pPr>
      <w:r>
        <w:rPr>
          <w:rFonts w:ascii="Arial" w:eastAsia="Times" w:hAnsi="Arial" w:cs="Arial"/>
          <w:sz w:val="18"/>
          <w:szCs w:val="18"/>
          <w:lang w:val="en-GB"/>
        </w:rPr>
        <w:t>For my part, I carefully studied the details of this case.</w:t>
      </w:r>
    </w:p>
    <w:p w14:paraId="50B7E2DC" w14:textId="77777777" w:rsidR="003E35DF" w:rsidRPr="008E08B3" w:rsidRDefault="003E35DF" w:rsidP="00D7160D">
      <w:pPr>
        <w:autoSpaceDE w:val="0"/>
        <w:autoSpaceDN w:val="0"/>
        <w:adjustRightInd w:val="0"/>
        <w:spacing w:after="0" w:line="240" w:lineRule="atLeast"/>
        <w:jc w:val="both"/>
        <w:rPr>
          <w:rFonts w:ascii="Arial" w:eastAsia="Times" w:hAnsi="Arial" w:cs="Arial"/>
          <w:sz w:val="18"/>
          <w:szCs w:val="18"/>
          <w:lang w:val="en-US"/>
        </w:rPr>
      </w:pPr>
    </w:p>
    <w:p w14:paraId="3986FCD8" w14:textId="6A9D5C13" w:rsidR="003E35DF" w:rsidRPr="008E08B3" w:rsidRDefault="003E35DF" w:rsidP="003E35DF">
      <w:pPr>
        <w:autoSpaceDE w:val="0"/>
        <w:autoSpaceDN w:val="0"/>
        <w:adjustRightInd w:val="0"/>
        <w:spacing w:after="0" w:line="240" w:lineRule="atLeast"/>
        <w:jc w:val="both"/>
        <w:rPr>
          <w:rFonts w:ascii="Arial" w:eastAsia="Times" w:hAnsi="Arial" w:cs="Arial"/>
          <w:sz w:val="18"/>
          <w:szCs w:val="18"/>
          <w:lang w:val="en-US"/>
        </w:rPr>
      </w:pPr>
      <w:r>
        <w:rPr>
          <w:rFonts w:ascii="Arial" w:eastAsia="Times" w:hAnsi="Arial" w:cs="Arial"/>
          <w:sz w:val="18"/>
          <w:szCs w:val="18"/>
          <w:lang w:val="en-GB"/>
        </w:rPr>
        <w:t>In his mediation request, Mr X. raise</w:t>
      </w:r>
      <w:r w:rsidR="00912086">
        <w:rPr>
          <w:rFonts w:ascii="Arial" w:eastAsia="Times" w:hAnsi="Arial" w:cs="Arial"/>
          <w:sz w:val="18"/>
          <w:szCs w:val="18"/>
          <w:lang w:val="en-GB"/>
        </w:rPr>
        <w:t>d</w:t>
      </w:r>
      <w:r>
        <w:rPr>
          <w:rFonts w:ascii="Arial" w:eastAsia="Times" w:hAnsi="Arial" w:cs="Arial"/>
          <w:sz w:val="18"/>
          <w:szCs w:val="18"/>
          <w:lang w:val="en-GB"/>
        </w:rPr>
        <w:t xml:space="preserve"> two objections:</w:t>
      </w:r>
    </w:p>
    <w:p w14:paraId="0A9ECC07" w14:textId="50EF2991" w:rsidR="003E35DF" w:rsidRPr="008E08B3" w:rsidRDefault="003E35DF" w:rsidP="003E35DF">
      <w:pPr>
        <w:pStyle w:val="Paragraphedeliste"/>
        <w:numPr>
          <w:ilvl w:val="0"/>
          <w:numId w:val="4"/>
        </w:numPr>
        <w:autoSpaceDE w:val="0"/>
        <w:autoSpaceDN w:val="0"/>
        <w:adjustRightInd w:val="0"/>
        <w:rPr>
          <w:rFonts w:cs="Arial"/>
          <w:szCs w:val="18"/>
          <w:lang w:val="en-US"/>
        </w:rPr>
      </w:pPr>
      <w:r>
        <w:rPr>
          <w:rFonts w:cs="Arial"/>
          <w:szCs w:val="18"/>
          <w:lang w:val="en-GB"/>
        </w:rPr>
        <w:t>He challenge</w:t>
      </w:r>
      <w:r w:rsidR="00912086">
        <w:rPr>
          <w:rFonts w:cs="Arial"/>
          <w:szCs w:val="18"/>
          <w:lang w:val="en-GB"/>
        </w:rPr>
        <w:t>d</w:t>
      </w:r>
      <w:r>
        <w:rPr>
          <w:rFonts w:cs="Arial"/>
          <w:szCs w:val="18"/>
          <w:lang w:val="en-GB"/>
        </w:rPr>
        <w:t xml:space="preserve"> the investment management company’s decision to change the characteristics of the fund in which he had invested;</w:t>
      </w:r>
    </w:p>
    <w:p w14:paraId="0905EF0E" w14:textId="25760C04" w:rsidR="003E35DF" w:rsidRPr="008E08B3" w:rsidRDefault="003E35DF" w:rsidP="003E35DF">
      <w:pPr>
        <w:pStyle w:val="Paragraphedeliste"/>
        <w:numPr>
          <w:ilvl w:val="0"/>
          <w:numId w:val="4"/>
        </w:numPr>
        <w:autoSpaceDE w:val="0"/>
        <w:autoSpaceDN w:val="0"/>
        <w:adjustRightInd w:val="0"/>
        <w:rPr>
          <w:rFonts w:cs="Arial"/>
          <w:szCs w:val="18"/>
          <w:lang w:val="en-US"/>
        </w:rPr>
      </w:pPr>
      <w:r>
        <w:rPr>
          <w:rFonts w:cs="Arial"/>
          <w:szCs w:val="18"/>
          <w:lang w:val="en-GB"/>
        </w:rPr>
        <w:t xml:space="preserve">He </w:t>
      </w:r>
      <w:r w:rsidR="00912086">
        <w:rPr>
          <w:rFonts w:cs="Arial"/>
          <w:szCs w:val="18"/>
          <w:lang w:val="en-GB"/>
        </w:rPr>
        <w:t>considered</w:t>
      </w:r>
      <w:r>
        <w:rPr>
          <w:rFonts w:cs="Arial"/>
          <w:szCs w:val="18"/>
          <w:lang w:val="en-GB"/>
        </w:rPr>
        <w:t xml:space="preserve"> that his account-keeping institution </w:t>
      </w:r>
      <w:r w:rsidR="00912086">
        <w:rPr>
          <w:rFonts w:cs="Arial"/>
          <w:szCs w:val="18"/>
          <w:lang w:val="en-GB"/>
        </w:rPr>
        <w:t xml:space="preserve">had </w:t>
      </w:r>
      <w:r>
        <w:rPr>
          <w:rFonts w:cs="Arial"/>
          <w:szCs w:val="18"/>
          <w:lang w:val="en-GB"/>
        </w:rPr>
        <w:t>failed to fulfil its duty of information by recommending, in 2017, that he invest in a fund that can no longer be included in his SME-PEA in 2019.</w:t>
      </w:r>
    </w:p>
    <w:p w14:paraId="43B09CA4" w14:textId="77777777" w:rsidR="00D7160D" w:rsidRPr="008E08B3" w:rsidRDefault="00D7160D" w:rsidP="00D7160D">
      <w:pPr>
        <w:autoSpaceDE w:val="0"/>
        <w:autoSpaceDN w:val="0"/>
        <w:adjustRightInd w:val="0"/>
        <w:spacing w:after="0" w:line="240" w:lineRule="atLeast"/>
        <w:jc w:val="both"/>
        <w:rPr>
          <w:rFonts w:ascii="Arial" w:eastAsia="Times" w:hAnsi="Arial" w:cs="Arial"/>
          <w:sz w:val="18"/>
          <w:szCs w:val="18"/>
          <w:u w:val="single"/>
          <w:lang w:val="en-US"/>
        </w:rPr>
      </w:pPr>
    </w:p>
    <w:p w14:paraId="69760E07" w14:textId="3CB7C241" w:rsidR="003E35DF" w:rsidRPr="008E08B3" w:rsidRDefault="00D7160D" w:rsidP="003E35DF">
      <w:pPr>
        <w:autoSpaceDE w:val="0"/>
        <w:autoSpaceDN w:val="0"/>
        <w:adjustRightInd w:val="0"/>
        <w:spacing w:after="0" w:line="240" w:lineRule="atLeast"/>
        <w:jc w:val="both"/>
        <w:rPr>
          <w:rFonts w:ascii="Arial" w:eastAsia="Times" w:hAnsi="Arial" w:cs="Arial"/>
          <w:sz w:val="18"/>
          <w:szCs w:val="18"/>
          <w:lang w:val="en-US"/>
        </w:rPr>
      </w:pPr>
      <w:r>
        <w:rPr>
          <w:rFonts w:ascii="Arial" w:eastAsia="Times" w:hAnsi="Arial" w:cs="Arial"/>
          <w:sz w:val="18"/>
          <w:szCs w:val="18"/>
          <w:u w:val="single"/>
          <w:lang w:val="en-GB"/>
        </w:rPr>
        <w:lastRenderedPageBreak/>
        <w:t>With regard to the investment management company’s unilateral decision to change Fund Y</w:t>
      </w:r>
      <w:r>
        <w:rPr>
          <w:rFonts w:ascii="Arial" w:eastAsia="Times" w:hAnsi="Arial" w:cs="Arial"/>
          <w:sz w:val="18"/>
          <w:szCs w:val="18"/>
          <w:lang w:val="en-GB"/>
        </w:rPr>
        <w:t>, I noted that, in its letter of 22 February 2019, the management company informed investors in Fund Y of its decision to change the investment strategy of this fund</w:t>
      </w:r>
      <w:r w:rsidR="00B94C7C">
        <w:rPr>
          <w:rFonts w:ascii="Arial" w:eastAsia="Times" w:hAnsi="Arial" w:cs="Arial"/>
          <w:sz w:val="18"/>
          <w:szCs w:val="18"/>
          <w:lang w:val="en-GB"/>
        </w:rPr>
        <w:t>. This change made the fund</w:t>
      </w:r>
      <w:r>
        <w:rPr>
          <w:rFonts w:ascii="Arial" w:eastAsia="Times" w:hAnsi="Arial" w:cs="Arial"/>
          <w:sz w:val="18"/>
          <w:szCs w:val="18"/>
          <w:lang w:val="en-GB"/>
        </w:rPr>
        <w:t xml:space="preserve"> ineligible for an SME-PEA. Consequently, Mr X. could no longer hold these fund units in his SME-PEA. </w:t>
      </w:r>
    </w:p>
    <w:p w14:paraId="71050333" w14:textId="77777777" w:rsidR="002F164B" w:rsidRPr="008E08B3" w:rsidRDefault="002F164B" w:rsidP="00D7160D">
      <w:pPr>
        <w:autoSpaceDE w:val="0"/>
        <w:autoSpaceDN w:val="0"/>
        <w:adjustRightInd w:val="0"/>
        <w:spacing w:after="0" w:line="240" w:lineRule="atLeast"/>
        <w:jc w:val="both"/>
        <w:rPr>
          <w:rFonts w:ascii="Arial" w:eastAsia="Times" w:hAnsi="Arial" w:cs="Arial"/>
          <w:sz w:val="18"/>
          <w:szCs w:val="18"/>
          <w:lang w:val="en-US"/>
        </w:rPr>
      </w:pPr>
    </w:p>
    <w:p w14:paraId="6858A181" w14:textId="77777777" w:rsidR="00D7160D" w:rsidRPr="008E08B3" w:rsidRDefault="003E35DF" w:rsidP="00D7160D">
      <w:pPr>
        <w:autoSpaceDE w:val="0"/>
        <w:autoSpaceDN w:val="0"/>
        <w:adjustRightInd w:val="0"/>
        <w:spacing w:after="0" w:line="240" w:lineRule="atLeast"/>
        <w:jc w:val="both"/>
        <w:rPr>
          <w:rFonts w:ascii="Arial" w:eastAsia="Times" w:hAnsi="Arial" w:cs="Arial"/>
          <w:sz w:val="18"/>
          <w:szCs w:val="18"/>
          <w:lang w:val="en-US"/>
        </w:rPr>
      </w:pPr>
      <w:r>
        <w:rPr>
          <w:rFonts w:ascii="Arial" w:eastAsia="Times" w:hAnsi="Arial" w:cs="Arial"/>
          <w:sz w:val="18"/>
          <w:szCs w:val="18"/>
          <w:lang w:val="en-GB"/>
        </w:rPr>
        <w:t>I informed the retail investor that the decision to change the key characteristics of a fund leading to the withdrawal of its originally intended eligibility for the SME-PEA is a management decision made exclusively by the Fund operator that is binding on all investors and on Bank X, his account-keeping institution.</w:t>
      </w:r>
    </w:p>
    <w:p w14:paraId="2B38B3F2" w14:textId="77777777" w:rsidR="00D7160D" w:rsidRPr="008E08B3" w:rsidRDefault="00D7160D" w:rsidP="00D7160D">
      <w:pPr>
        <w:autoSpaceDE w:val="0"/>
        <w:autoSpaceDN w:val="0"/>
        <w:adjustRightInd w:val="0"/>
        <w:spacing w:after="0" w:line="240" w:lineRule="atLeast"/>
        <w:jc w:val="both"/>
        <w:rPr>
          <w:rFonts w:ascii="Arial" w:eastAsia="Times" w:hAnsi="Arial" w:cs="Arial"/>
          <w:sz w:val="18"/>
          <w:szCs w:val="18"/>
          <w:lang w:val="en-US"/>
        </w:rPr>
      </w:pPr>
    </w:p>
    <w:p w14:paraId="395C1BD6" w14:textId="77777777" w:rsidR="00D7160D" w:rsidRPr="008E08B3" w:rsidRDefault="00D7160D" w:rsidP="00D7160D">
      <w:pPr>
        <w:autoSpaceDE w:val="0"/>
        <w:autoSpaceDN w:val="0"/>
        <w:adjustRightInd w:val="0"/>
        <w:spacing w:after="0" w:line="240" w:lineRule="atLeast"/>
        <w:jc w:val="both"/>
        <w:rPr>
          <w:rFonts w:ascii="Arial" w:eastAsia="Times" w:hAnsi="Arial" w:cs="Arial"/>
          <w:sz w:val="18"/>
          <w:szCs w:val="18"/>
          <w:lang w:val="en-US"/>
        </w:rPr>
      </w:pPr>
      <w:r>
        <w:rPr>
          <w:rFonts w:ascii="Arial" w:eastAsia="Times" w:hAnsi="Arial" w:cs="Arial"/>
          <w:sz w:val="18"/>
          <w:szCs w:val="18"/>
          <w:lang w:val="en-GB"/>
        </w:rPr>
        <w:t>According to Article 411-15 of the AMF General Regulation, two types of changes may be made, on the initiative of the investment management company, during the life of a UCITS:</w:t>
      </w:r>
      <w:r>
        <w:rPr>
          <w:rStyle w:val="Appelnotedebasdep"/>
          <w:rFonts w:ascii="Arial" w:eastAsia="Times" w:hAnsi="Arial" w:cs="Arial"/>
          <w:sz w:val="18"/>
          <w:szCs w:val="18"/>
          <w:lang w:val="en-GB"/>
        </w:rPr>
        <w:footnoteReference w:id="3"/>
      </w:r>
    </w:p>
    <w:p w14:paraId="1DA4C12D" w14:textId="77777777" w:rsidR="00D7160D" w:rsidRPr="008E08B3" w:rsidRDefault="00D7160D" w:rsidP="00D7160D">
      <w:pPr>
        <w:autoSpaceDE w:val="0"/>
        <w:autoSpaceDN w:val="0"/>
        <w:adjustRightInd w:val="0"/>
        <w:spacing w:after="0" w:line="240" w:lineRule="atLeast"/>
        <w:jc w:val="both"/>
        <w:rPr>
          <w:rFonts w:ascii="Arial" w:eastAsia="Times" w:hAnsi="Arial" w:cs="Arial"/>
          <w:sz w:val="18"/>
          <w:szCs w:val="18"/>
          <w:lang w:val="en-US"/>
        </w:rPr>
      </w:pPr>
    </w:p>
    <w:p w14:paraId="5493AC6B" w14:textId="77777777" w:rsidR="00D7160D" w:rsidRPr="008E08B3" w:rsidRDefault="00D7160D" w:rsidP="004E1F9C">
      <w:pPr>
        <w:autoSpaceDE w:val="0"/>
        <w:autoSpaceDN w:val="0"/>
        <w:adjustRightInd w:val="0"/>
        <w:spacing w:after="0" w:line="240" w:lineRule="atLeast"/>
        <w:ind w:left="705" w:hanging="705"/>
        <w:jc w:val="both"/>
        <w:rPr>
          <w:rFonts w:ascii="Arial" w:eastAsia="Times" w:hAnsi="Arial" w:cs="Arial"/>
          <w:sz w:val="18"/>
          <w:szCs w:val="18"/>
          <w:lang w:val="en-US"/>
        </w:rPr>
      </w:pPr>
      <w:r>
        <w:rPr>
          <w:rFonts w:ascii="Arial" w:eastAsia="Times" w:hAnsi="Arial" w:cs="Arial"/>
          <w:sz w:val="18"/>
          <w:szCs w:val="18"/>
          <w:lang w:val="en-GB"/>
        </w:rPr>
        <w:t>-</w:t>
      </w:r>
      <w:r>
        <w:rPr>
          <w:rFonts w:ascii="Arial" w:eastAsia="Times" w:hAnsi="Arial" w:cs="Arial"/>
          <w:sz w:val="18"/>
          <w:szCs w:val="18"/>
          <w:lang w:val="en-GB"/>
        </w:rPr>
        <w:tab/>
        <w:t>Changes subject to pre-approval by the AMF (“mutations”), which relate to transformations and merger, demerger, dissolution and liquidation transactions;</w:t>
      </w:r>
    </w:p>
    <w:p w14:paraId="404A733E" w14:textId="47CCF367" w:rsidR="00D7160D" w:rsidRPr="008E08B3" w:rsidRDefault="00D7160D" w:rsidP="00D7160D">
      <w:pPr>
        <w:autoSpaceDE w:val="0"/>
        <w:autoSpaceDN w:val="0"/>
        <w:adjustRightInd w:val="0"/>
        <w:spacing w:after="0" w:line="240" w:lineRule="atLeast"/>
        <w:jc w:val="both"/>
        <w:rPr>
          <w:rFonts w:ascii="Arial" w:eastAsia="Times" w:hAnsi="Arial" w:cs="Arial"/>
          <w:sz w:val="18"/>
          <w:szCs w:val="18"/>
          <w:lang w:val="en-US"/>
        </w:rPr>
      </w:pPr>
      <w:r>
        <w:rPr>
          <w:rFonts w:ascii="Arial" w:eastAsia="Times" w:hAnsi="Arial" w:cs="Arial"/>
          <w:sz w:val="18"/>
          <w:szCs w:val="18"/>
          <w:lang w:val="en-GB"/>
        </w:rPr>
        <w:t>-</w:t>
      </w:r>
      <w:r>
        <w:rPr>
          <w:rFonts w:ascii="Arial" w:eastAsia="Times" w:hAnsi="Arial" w:cs="Arial"/>
          <w:sz w:val="18"/>
          <w:szCs w:val="18"/>
          <w:lang w:val="en-GB"/>
        </w:rPr>
        <w:tab/>
        <w:t>Changes subject to ex-post notification (“change</w:t>
      </w:r>
      <w:r w:rsidR="00562C5B">
        <w:rPr>
          <w:rFonts w:ascii="Arial" w:eastAsia="Times" w:hAnsi="Arial" w:cs="Arial"/>
          <w:sz w:val="18"/>
          <w:szCs w:val="18"/>
          <w:lang w:val="en-GB"/>
        </w:rPr>
        <w:t>s</w:t>
      </w:r>
      <w:r>
        <w:rPr>
          <w:rFonts w:ascii="Arial" w:eastAsia="Times" w:hAnsi="Arial" w:cs="Arial"/>
          <w:sz w:val="18"/>
          <w:szCs w:val="18"/>
          <w:lang w:val="en-GB"/>
        </w:rPr>
        <w:t xml:space="preserve">”). </w:t>
      </w:r>
    </w:p>
    <w:p w14:paraId="0333DA5C" w14:textId="77777777" w:rsidR="00D7160D" w:rsidRPr="008E08B3" w:rsidRDefault="00D7160D" w:rsidP="00D7160D">
      <w:pPr>
        <w:autoSpaceDE w:val="0"/>
        <w:autoSpaceDN w:val="0"/>
        <w:adjustRightInd w:val="0"/>
        <w:spacing w:after="0" w:line="240" w:lineRule="atLeast"/>
        <w:jc w:val="both"/>
        <w:rPr>
          <w:rFonts w:ascii="Arial" w:eastAsia="Times" w:hAnsi="Arial" w:cs="Arial"/>
          <w:sz w:val="18"/>
          <w:szCs w:val="18"/>
          <w:lang w:val="en-US"/>
        </w:rPr>
      </w:pPr>
    </w:p>
    <w:p w14:paraId="774C9DD0" w14:textId="77777777" w:rsidR="00D7160D" w:rsidRPr="008E08B3" w:rsidRDefault="00D7160D" w:rsidP="00D7160D">
      <w:pPr>
        <w:autoSpaceDE w:val="0"/>
        <w:autoSpaceDN w:val="0"/>
        <w:adjustRightInd w:val="0"/>
        <w:spacing w:after="0" w:line="240" w:lineRule="atLeast"/>
        <w:jc w:val="both"/>
        <w:rPr>
          <w:rFonts w:ascii="Arial" w:eastAsia="Times" w:hAnsi="Arial" w:cs="Arial"/>
          <w:sz w:val="18"/>
          <w:szCs w:val="18"/>
          <w:lang w:val="en-US"/>
        </w:rPr>
      </w:pPr>
      <w:r>
        <w:rPr>
          <w:rFonts w:ascii="Arial" w:eastAsia="Times" w:hAnsi="Arial" w:cs="Arial"/>
          <w:sz w:val="18"/>
          <w:szCs w:val="18"/>
          <w:lang w:val="en-GB"/>
        </w:rPr>
        <w:t>Article 8 of AMF Instruction 2011-19 states that the withdrawal of a fund’s eligibility to benefit from tax measures, such as the SME-PEA, requires only specific information to be provided to the fund’s investors and is not subject to approval by the AMF.</w:t>
      </w:r>
    </w:p>
    <w:p w14:paraId="514F1CB7" w14:textId="77777777" w:rsidR="00D7160D" w:rsidRPr="008E08B3" w:rsidRDefault="00D7160D" w:rsidP="00D7160D">
      <w:pPr>
        <w:autoSpaceDE w:val="0"/>
        <w:autoSpaceDN w:val="0"/>
        <w:adjustRightInd w:val="0"/>
        <w:spacing w:after="0" w:line="240" w:lineRule="atLeast"/>
        <w:jc w:val="both"/>
        <w:rPr>
          <w:rFonts w:ascii="Arial" w:eastAsia="Times" w:hAnsi="Arial" w:cs="Arial"/>
          <w:sz w:val="18"/>
          <w:szCs w:val="18"/>
          <w:lang w:val="en-US"/>
        </w:rPr>
      </w:pPr>
    </w:p>
    <w:p w14:paraId="630D7577" w14:textId="77777777" w:rsidR="00D7160D" w:rsidRPr="008E08B3" w:rsidRDefault="00D7160D" w:rsidP="00D7160D">
      <w:pPr>
        <w:autoSpaceDE w:val="0"/>
        <w:autoSpaceDN w:val="0"/>
        <w:adjustRightInd w:val="0"/>
        <w:spacing w:after="0" w:line="240" w:lineRule="atLeast"/>
        <w:jc w:val="both"/>
        <w:rPr>
          <w:rFonts w:ascii="Arial" w:eastAsia="Times" w:hAnsi="Arial" w:cs="Arial"/>
          <w:sz w:val="18"/>
          <w:szCs w:val="18"/>
          <w:lang w:val="en-US"/>
        </w:rPr>
      </w:pPr>
      <w:r>
        <w:rPr>
          <w:rFonts w:ascii="Arial" w:eastAsia="Times" w:hAnsi="Arial" w:cs="Arial"/>
          <w:sz w:val="18"/>
          <w:szCs w:val="18"/>
          <w:lang w:val="en-GB"/>
        </w:rPr>
        <w:t xml:space="preserve">Furthermore, Article 7 of this Instruction states that </w:t>
      </w:r>
      <w:r>
        <w:rPr>
          <w:rFonts w:ascii="Arial" w:eastAsia="Times" w:hAnsi="Arial" w:cs="Arial"/>
          <w:i/>
          <w:iCs/>
          <w:sz w:val="18"/>
          <w:szCs w:val="18"/>
          <w:lang w:val="en-GB"/>
        </w:rPr>
        <w:t>“all changes that do not require approval shall simply be notified to the AMF via the management company’s or SICAV’s GECO extranet no later than the day on which the change comes into force”</w:t>
      </w:r>
      <w:r>
        <w:rPr>
          <w:rFonts w:ascii="Arial" w:eastAsia="Times" w:hAnsi="Arial" w:cs="Arial"/>
          <w:sz w:val="18"/>
          <w:szCs w:val="18"/>
          <w:lang w:val="en-GB"/>
        </w:rPr>
        <w:t>.</w:t>
      </w:r>
    </w:p>
    <w:p w14:paraId="16604008" w14:textId="77777777" w:rsidR="00D7160D" w:rsidRPr="008E08B3" w:rsidRDefault="00D7160D" w:rsidP="00D7160D">
      <w:pPr>
        <w:autoSpaceDE w:val="0"/>
        <w:autoSpaceDN w:val="0"/>
        <w:adjustRightInd w:val="0"/>
        <w:spacing w:after="0" w:line="240" w:lineRule="atLeast"/>
        <w:jc w:val="both"/>
        <w:rPr>
          <w:rFonts w:ascii="Arial" w:eastAsia="Times" w:hAnsi="Arial" w:cs="Arial"/>
          <w:sz w:val="18"/>
          <w:szCs w:val="18"/>
          <w:lang w:val="en-US"/>
        </w:rPr>
      </w:pPr>
    </w:p>
    <w:p w14:paraId="058538AB" w14:textId="77777777" w:rsidR="00D7160D" w:rsidRPr="008E08B3" w:rsidRDefault="00D7160D" w:rsidP="00D7160D">
      <w:pPr>
        <w:autoSpaceDE w:val="0"/>
        <w:autoSpaceDN w:val="0"/>
        <w:adjustRightInd w:val="0"/>
        <w:spacing w:after="0" w:line="240" w:lineRule="atLeast"/>
        <w:jc w:val="both"/>
        <w:rPr>
          <w:rFonts w:ascii="Arial" w:eastAsia="Times" w:hAnsi="Arial" w:cs="Arial"/>
          <w:sz w:val="18"/>
          <w:szCs w:val="18"/>
          <w:lang w:val="en-US"/>
        </w:rPr>
      </w:pPr>
      <w:r>
        <w:rPr>
          <w:rFonts w:ascii="Arial" w:eastAsia="Times" w:hAnsi="Arial" w:cs="Arial"/>
          <w:sz w:val="18"/>
          <w:szCs w:val="18"/>
          <w:lang w:val="en-GB"/>
        </w:rPr>
        <w:t>Consequently, the investment management company was entitled to modify the management of its fund on this point, as the regulations simply require specific information to be provided to investors to enable them to take appropriate action when they are no longer permitted to hold this fund in their SME-PEA.</w:t>
      </w:r>
    </w:p>
    <w:p w14:paraId="62DBAFB7" w14:textId="77777777" w:rsidR="004E1F9C" w:rsidRPr="008E08B3" w:rsidRDefault="004E1F9C" w:rsidP="00D7160D">
      <w:pPr>
        <w:autoSpaceDE w:val="0"/>
        <w:autoSpaceDN w:val="0"/>
        <w:adjustRightInd w:val="0"/>
        <w:spacing w:after="0" w:line="240" w:lineRule="atLeast"/>
        <w:jc w:val="both"/>
        <w:rPr>
          <w:rFonts w:ascii="Arial" w:eastAsia="Times" w:hAnsi="Arial" w:cs="Arial"/>
          <w:sz w:val="18"/>
          <w:szCs w:val="18"/>
          <w:lang w:val="en-US"/>
        </w:rPr>
      </w:pPr>
    </w:p>
    <w:p w14:paraId="20F0F725" w14:textId="77777777" w:rsidR="00F5573C" w:rsidRPr="008E08B3" w:rsidRDefault="00F5573C" w:rsidP="004E1F9C">
      <w:pPr>
        <w:autoSpaceDE w:val="0"/>
        <w:autoSpaceDN w:val="0"/>
        <w:adjustRightInd w:val="0"/>
        <w:spacing w:after="0" w:line="240" w:lineRule="atLeast"/>
        <w:jc w:val="both"/>
        <w:rPr>
          <w:rFonts w:ascii="Arial" w:eastAsia="Times" w:hAnsi="Arial" w:cs="Arial"/>
          <w:sz w:val="18"/>
          <w:szCs w:val="18"/>
          <w:lang w:val="en-US"/>
        </w:rPr>
      </w:pPr>
      <w:r>
        <w:rPr>
          <w:rFonts w:ascii="Arial" w:eastAsia="Times" w:hAnsi="Arial" w:cs="Arial"/>
          <w:sz w:val="18"/>
          <w:szCs w:val="18"/>
          <w:lang w:val="en-GB"/>
        </w:rPr>
        <w:t xml:space="preserve">In this case, based on the documents provided, I found that the management company had specifically informed the investor, in its letter of 22 February 2019, of the change in the characteristics of Fund Y and, in particular, of the withdrawal of its eligibility for the SME-PEA. </w:t>
      </w:r>
    </w:p>
    <w:p w14:paraId="5745FCFD" w14:textId="77777777" w:rsidR="003D5F6F" w:rsidRPr="008E08B3" w:rsidRDefault="003D5F6F" w:rsidP="004E1F9C">
      <w:pPr>
        <w:autoSpaceDE w:val="0"/>
        <w:autoSpaceDN w:val="0"/>
        <w:adjustRightInd w:val="0"/>
        <w:spacing w:after="0" w:line="240" w:lineRule="atLeast"/>
        <w:jc w:val="both"/>
        <w:rPr>
          <w:rFonts w:ascii="Arial" w:eastAsia="Times" w:hAnsi="Arial" w:cs="Arial"/>
          <w:sz w:val="18"/>
          <w:szCs w:val="18"/>
          <w:lang w:val="en-US"/>
        </w:rPr>
      </w:pPr>
    </w:p>
    <w:p w14:paraId="330758BE" w14:textId="0C8BBCF4" w:rsidR="00F5573C" w:rsidRPr="008E08B3" w:rsidRDefault="00F5573C" w:rsidP="00F5573C">
      <w:pPr>
        <w:autoSpaceDE w:val="0"/>
        <w:autoSpaceDN w:val="0"/>
        <w:adjustRightInd w:val="0"/>
        <w:spacing w:after="0" w:line="240" w:lineRule="atLeast"/>
        <w:jc w:val="both"/>
        <w:rPr>
          <w:rFonts w:ascii="Arial" w:eastAsia="Times" w:hAnsi="Arial" w:cs="Arial"/>
          <w:sz w:val="18"/>
          <w:szCs w:val="18"/>
          <w:u w:val="single"/>
          <w:lang w:val="en-US"/>
        </w:rPr>
      </w:pPr>
      <w:r>
        <w:rPr>
          <w:rFonts w:ascii="Arial" w:eastAsia="Times" w:hAnsi="Arial" w:cs="Arial"/>
          <w:sz w:val="18"/>
          <w:szCs w:val="18"/>
          <w:u w:val="single"/>
          <w:lang w:val="en-GB"/>
        </w:rPr>
        <w:t>Regarding the lack of advice from Bank Z</w:t>
      </w:r>
      <w:r>
        <w:rPr>
          <w:rFonts w:ascii="Arial" w:eastAsia="Times" w:hAnsi="Arial" w:cs="Arial"/>
          <w:sz w:val="18"/>
          <w:szCs w:val="18"/>
          <w:lang w:val="en-GB"/>
        </w:rPr>
        <w:t xml:space="preserve">, while I can understand that this situation was binding on the retail investor, it cannot, however, be attributable to the account-keeping institution. This institution cannot be criticised for not being able, when subscribing to Fund Y in 2017, to inform its client of future changes in investment strategy, unilaterally decided by this fund’s management company in 2019, given that the account-keeping institution was at no time in a position to consider these changes. Since such a decision by this management company cannot by its very nature be predicted, the recommendation </w:t>
      </w:r>
      <w:r w:rsidR="00562C5B">
        <w:rPr>
          <w:rFonts w:ascii="Arial" w:eastAsia="Times" w:hAnsi="Arial" w:cs="Arial"/>
          <w:sz w:val="18"/>
          <w:szCs w:val="18"/>
          <w:lang w:val="en-GB"/>
        </w:rPr>
        <w:t xml:space="preserve">that a client subscribe to Fund Y made </w:t>
      </w:r>
      <w:r>
        <w:rPr>
          <w:rFonts w:ascii="Arial" w:eastAsia="Times" w:hAnsi="Arial" w:cs="Arial"/>
          <w:sz w:val="18"/>
          <w:szCs w:val="18"/>
          <w:lang w:val="en-GB"/>
        </w:rPr>
        <w:t xml:space="preserve">by an investment advisor a year and a half earlier cannot be blamed on that advisor. </w:t>
      </w:r>
    </w:p>
    <w:p w14:paraId="3BE43AE7" w14:textId="77777777" w:rsidR="004E1F9C" w:rsidRPr="008E08B3" w:rsidRDefault="004E1F9C" w:rsidP="004E1F9C">
      <w:pPr>
        <w:autoSpaceDE w:val="0"/>
        <w:autoSpaceDN w:val="0"/>
        <w:adjustRightInd w:val="0"/>
        <w:spacing w:after="0" w:line="240" w:lineRule="atLeast"/>
        <w:jc w:val="both"/>
        <w:rPr>
          <w:rFonts w:ascii="Arial" w:eastAsia="Times" w:hAnsi="Arial" w:cs="Arial"/>
          <w:sz w:val="18"/>
          <w:szCs w:val="18"/>
          <w:lang w:val="en-US"/>
        </w:rPr>
      </w:pPr>
    </w:p>
    <w:p w14:paraId="3DB48D81" w14:textId="77777777" w:rsidR="004E1F9C" w:rsidRPr="008E08B3" w:rsidRDefault="003D5F6F" w:rsidP="004E1F9C">
      <w:pPr>
        <w:autoSpaceDE w:val="0"/>
        <w:autoSpaceDN w:val="0"/>
        <w:adjustRightInd w:val="0"/>
        <w:spacing w:after="0" w:line="240" w:lineRule="atLeast"/>
        <w:jc w:val="both"/>
        <w:rPr>
          <w:rFonts w:ascii="Arial" w:eastAsia="Times" w:hAnsi="Arial" w:cs="Arial"/>
          <w:sz w:val="18"/>
          <w:szCs w:val="18"/>
          <w:lang w:val="en-US"/>
        </w:rPr>
      </w:pPr>
      <w:r>
        <w:rPr>
          <w:rFonts w:ascii="Arial" w:eastAsia="Times" w:hAnsi="Arial" w:cs="Arial"/>
          <w:sz w:val="18"/>
          <w:szCs w:val="18"/>
          <w:lang w:val="en-GB"/>
        </w:rPr>
        <w:t>Furthermore, to avoid the closure of the SME-PEA provided for under Article 1765 the General Tax Code, I noted that the account-keeping institution had offered its client an alternative in its letter dated 12 April 2019 to:</w:t>
      </w:r>
    </w:p>
    <w:p w14:paraId="52A562AE" w14:textId="77777777" w:rsidR="004E1F9C" w:rsidRPr="008E08B3" w:rsidRDefault="0061524E" w:rsidP="004E1F9C">
      <w:pPr>
        <w:pStyle w:val="Paragraphedeliste"/>
        <w:numPr>
          <w:ilvl w:val="0"/>
          <w:numId w:val="3"/>
        </w:numPr>
        <w:autoSpaceDE w:val="0"/>
        <w:autoSpaceDN w:val="0"/>
        <w:adjustRightInd w:val="0"/>
        <w:rPr>
          <w:rFonts w:cs="Arial"/>
          <w:szCs w:val="18"/>
          <w:lang w:val="en-US"/>
        </w:rPr>
      </w:pPr>
      <w:r>
        <w:rPr>
          <w:rFonts w:cs="Arial"/>
          <w:szCs w:val="18"/>
          <w:lang w:val="en-GB"/>
        </w:rPr>
        <w:t>either sell the fund units;</w:t>
      </w:r>
    </w:p>
    <w:p w14:paraId="2DC79EBB" w14:textId="29FB429A" w:rsidR="004E1F9C" w:rsidRPr="008E08B3" w:rsidRDefault="004E1F9C" w:rsidP="004E1F9C">
      <w:pPr>
        <w:pStyle w:val="Paragraphedeliste"/>
        <w:numPr>
          <w:ilvl w:val="0"/>
          <w:numId w:val="3"/>
        </w:numPr>
        <w:autoSpaceDE w:val="0"/>
        <w:autoSpaceDN w:val="0"/>
        <w:adjustRightInd w:val="0"/>
        <w:rPr>
          <w:rFonts w:cs="Arial"/>
          <w:szCs w:val="18"/>
          <w:lang w:val="en-US"/>
        </w:rPr>
      </w:pPr>
      <w:r>
        <w:rPr>
          <w:rFonts w:cs="Arial"/>
          <w:szCs w:val="18"/>
          <w:lang w:val="en-GB"/>
        </w:rPr>
        <w:t xml:space="preserve">or transfer the units to an ordinary securities account and offset the withdrawal by a payment of an equivalent amount in cash </w:t>
      </w:r>
      <w:r w:rsidR="008E08B3">
        <w:rPr>
          <w:rFonts w:cs="Arial"/>
          <w:szCs w:val="18"/>
          <w:lang w:val="en-GB"/>
        </w:rPr>
        <w:t>in</w:t>
      </w:r>
      <w:r>
        <w:rPr>
          <w:rFonts w:cs="Arial"/>
          <w:szCs w:val="18"/>
          <w:lang w:val="en-GB"/>
        </w:rPr>
        <w:t>to his SME-PEA.</w:t>
      </w:r>
    </w:p>
    <w:p w14:paraId="5E212687" w14:textId="77777777" w:rsidR="001D599E" w:rsidRPr="008E08B3" w:rsidRDefault="001D599E" w:rsidP="000F5CA6">
      <w:pPr>
        <w:autoSpaceDE w:val="0"/>
        <w:autoSpaceDN w:val="0"/>
        <w:adjustRightInd w:val="0"/>
        <w:spacing w:after="0" w:line="240" w:lineRule="atLeast"/>
        <w:jc w:val="both"/>
        <w:rPr>
          <w:rFonts w:ascii="Arial" w:eastAsia="Times" w:hAnsi="Arial" w:cs="Arial"/>
          <w:sz w:val="18"/>
          <w:szCs w:val="18"/>
          <w:lang w:val="en-US"/>
        </w:rPr>
      </w:pPr>
    </w:p>
    <w:p w14:paraId="38CFE488" w14:textId="77777777" w:rsidR="001D599E" w:rsidRPr="008E08B3" w:rsidRDefault="001D599E" w:rsidP="000F5CA6">
      <w:pPr>
        <w:autoSpaceDE w:val="0"/>
        <w:autoSpaceDN w:val="0"/>
        <w:adjustRightInd w:val="0"/>
        <w:spacing w:after="0" w:line="240" w:lineRule="atLeast"/>
        <w:jc w:val="both"/>
        <w:rPr>
          <w:rFonts w:ascii="Arial" w:eastAsia="Times" w:hAnsi="Arial" w:cs="Arial"/>
          <w:sz w:val="18"/>
          <w:szCs w:val="18"/>
          <w:lang w:val="en-US"/>
        </w:rPr>
      </w:pPr>
    </w:p>
    <w:p w14:paraId="1A7F06EE" w14:textId="77777777" w:rsidR="00F5573C" w:rsidRPr="008E08B3" w:rsidRDefault="004E1F9C" w:rsidP="000F5CA6">
      <w:pPr>
        <w:autoSpaceDE w:val="0"/>
        <w:autoSpaceDN w:val="0"/>
        <w:adjustRightInd w:val="0"/>
        <w:spacing w:after="0" w:line="240" w:lineRule="atLeast"/>
        <w:jc w:val="both"/>
        <w:rPr>
          <w:rFonts w:ascii="Arial" w:eastAsia="Times" w:hAnsi="Arial" w:cs="Arial"/>
          <w:sz w:val="18"/>
          <w:szCs w:val="18"/>
          <w:lang w:val="en-US"/>
        </w:rPr>
      </w:pPr>
      <w:r>
        <w:rPr>
          <w:rFonts w:ascii="Arial" w:eastAsia="Times" w:hAnsi="Arial" w:cs="Arial"/>
          <w:sz w:val="18"/>
          <w:szCs w:val="18"/>
          <w:lang w:val="en-GB"/>
        </w:rPr>
        <w:t xml:space="preserve">In the same letter of 12 April, the bank also reminded its client that, according to the regulations, he had a period of two months from the fund’s ineligibility to make his choice and instruct the bank accordingly. Ultimately, Bank Z granted its client an extension by informing him that if it did not receive his instructions by 22 May, his SME PEA would be closed. </w:t>
      </w:r>
    </w:p>
    <w:p w14:paraId="1639A3EB" w14:textId="77777777" w:rsidR="000D299E" w:rsidRPr="008E08B3" w:rsidRDefault="000D299E" w:rsidP="000F5CA6">
      <w:pPr>
        <w:autoSpaceDE w:val="0"/>
        <w:autoSpaceDN w:val="0"/>
        <w:adjustRightInd w:val="0"/>
        <w:spacing w:after="0" w:line="240" w:lineRule="atLeast"/>
        <w:jc w:val="both"/>
        <w:rPr>
          <w:rFonts w:ascii="Arial" w:eastAsia="Times" w:hAnsi="Arial" w:cs="Arial"/>
          <w:sz w:val="18"/>
          <w:szCs w:val="18"/>
          <w:lang w:val="en-US"/>
        </w:rPr>
      </w:pPr>
    </w:p>
    <w:p w14:paraId="030BB577" w14:textId="77777777" w:rsidR="00562C5B" w:rsidRDefault="00562C5B" w:rsidP="0085174C">
      <w:pPr>
        <w:keepNext/>
        <w:keepLines/>
        <w:spacing w:before="480" w:after="0" w:line="240" w:lineRule="atLeast"/>
        <w:jc w:val="both"/>
        <w:outlineLvl w:val="0"/>
        <w:rPr>
          <w:rFonts w:asciiTheme="majorHAnsi" w:eastAsiaTheme="majorEastAsia" w:hAnsiTheme="majorHAnsi" w:cstheme="majorBidi"/>
          <w:b/>
          <w:bCs/>
          <w:color w:val="365F91" w:themeColor="accent1" w:themeShade="BF"/>
          <w:sz w:val="28"/>
          <w:szCs w:val="28"/>
          <w:lang w:val="en-GB"/>
        </w:rPr>
      </w:pPr>
    </w:p>
    <w:p w14:paraId="3C521E7A" w14:textId="19FFBD3E" w:rsidR="0085174C" w:rsidRPr="008E08B3" w:rsidRDefault="000F5CA6" w:rsidP="0085174C">
      <w:pPr>
        <w:keepNext/>
        <w:keepLines/>
        <w:spacing w:before="480" w:after="0" w:line="240" w:lineRule="atLeast"/>
        <w:jc w:val="both"/>
        <w:outlineLvl w:val="0"/>
        <w:rPr>
          <w:rFonts w:asciiTheme="majorHAnsi" w:eastAsiaTheme="majorEastAsia" w:hAnsiTheme="majorHAnsi" w:cstheme="majorBidi"/>
          <w:b/>
          <w:bCs/>
          <w:color w:val="365F91" w:themeColor="accent1" w:themeShade="BF"/>
          <w:sz w:val="28"/>
          <w:szCs w:val="28"/>
          <w:lang w:val="en-US"/>
        </w:rPr>
      </w:pPr>
      <w:r>
        <w:rPr>
          <w:rFonts w:asciiTheme="majorHAnsi" w:eastAsiaTheme="majorEastAsia" w:hAnsiTheme="majorHAnsi" w:cstheme="majorBidi"/>
          <w:b/>
          <w:bCs/>
          <w:color w:val="365F91" w:themeColor="accent1" w:themeShade="BF"/>
          <w:sz w:val="28"/>
          <w:szCs w:val="28"/>
          <w:lang w:val="en-GB"/>
        </w:rPr>
        <w:t>Recommendation</w:t>
      </w:r>
    </w:p>
    <w:p w14:paraId="3567F953" w14:textId="77777777" w:rsidR="0085174C" w:rsidRPr="008E08B3" w:rsidRDefault="0085174C" w:rsidP="00D7160D">
      <w:pPr>
        <w:autoSpaceDE w:val="0"/>
        <w:autoSpaceDN w:val="0"/>
        <w:adjustRightInd w:val="0"/>
        <w:spacing w:after="0" w:line="240" w:lineRule="atLeast"/>
        <w:jc w:val="both"/>
        <w:rPr>
          <w:rFonts w:ascii="Arial" w:eastAsia="Times" w:hAnsi="Arial" w:cs="Arial"/>
          <w:sz w:val="18"/>
          <w:szCs w:val="18"/>
          <w:lang w:val="en-US"/>
        </w:rPr>
      </w:pPr>
    </w:p>
    <w:p w14:paraId="70D4B82C" w14:textId="1014F7B0" w:rsidR="00F5573C" w:rsidRPr="008E08B3" w:rsidRDefault="00821F9A" w:rsidP="00D7160D">
      <w:pPr>
        <w:autoSpaceDE w:val="0"/>
        <w:autoSpaceDN w:val="0"/>
        <w:adjustRightInd w:val="0"/>
        <w:spacing w:after="0" w:line="240" w:lineRule="atLeast"/>
        <w:jc w:val="both"/>
        <w:rPr>
          <w:rFonts w:ascii="Arial" w:eastAsia="Times" w:hAnsi="Arial" w:cs="Arial"/>
          <w:sz w:val="18"/>
          <w:szCs w:val="18"/>
          <w:lang w:val="en-US"/>
        </w:rPr>
      </w:pPr>
      <w:r>
        <w:rPr>
          <w:rFonts w:ascii="Arial" w:eastAsia="Times" w:hAnsi="Arial" w:cs="Arial"/>
          <w:sz w:val="18"/>
          <w:szCs w:val="18"/>
          <w:lang w:val="en-GB"/>
        </w:rPr>
        <w:t xml:space="preserve">In light of this information, I informed Mr X. that given that the change by the investment management company, </w:t>
      </w:r>
      <w:r w:rsidR="00D61F2C">
        <w:rPr>
          <w:rFonts w:ascii="Arial" w:eastAsia="Times" w:hAnsi="Arial" w:cs="Arial"/>
          <w:sz w:val="18"/>
          <w:szCs w:val="18"/>
          <w:lang w:val="en-GB"/>
        </w:rPr>
        <w:t>making</w:t>
      </w:r>
      <w:r>
        <w:rPr>
          <w:rFonts w:ascii="Arial" w:eastAsia="Times" w:hAnsi="Arial" w:cs="Arial"/>
          <w:sz w:val="18"/>
          <w:szCs w:val="18"/>
          <w:lang w:val="en-GB"/>
        </w:rPr>
        <w:t xml:space="preserve"> the fund ineligible for an SME-PEA, had taken place in accordance with the regulations and that the change could not be foreseen by his account-keeping institution at the time of subscription, I had no information to support his claim for compensation. </w:t>
      </w:r>
    </w:p>
    <w:p w14:paraId="2BAA53B7" w14:textId="77777777" w:rsidR="00A32AB3" w:rsidRPr="008E08B3" w:rsidRDefault="000F5CA6" w:rsidP="00A32AB3">
      <w:pPr>
        <w:keepNext/>
        <w:keepLines/>
        <w:spacing w:before="480" w:after="0" w:line="240" w:lineRule="atLeast"/>
        <w:jc w:val="both"/>
        <w:outlineLvl w:val="0"/>
        <w:rPr>
          <w:rFonts w:asciiTheme="majorHAnsi" w:eastAsiaTheme="majorEastAsia" w:hAnsiTheme="majorHAnsi" w:cstheme="majorBidi"/>
          <w:b/>
          <w:bCs/>
          <w:color w:val="365F91" w:themeColor="accent1" w:themeShade="BF"/>
          <w:sz w:val="28"/>
          <w:szCs w:val="28"/>
          <w:lang w:val="en-US"/>
        </w:rPr>
      </w:pPr>
      <w:r>
        <w:rPr>
          <w:rFonts w:asciiTheme="majorHAnsi" w:eastAsiaTheme="majorEastAsia" w:hAnsiTheme="majorHAnsi" w:cstheme="majorBidi"/>
          <w:b/>
          <w:bCs/>
          <w:color w:val="365F91" w:themeColor="accent1" w:themeShade="BF"/>
          <w:sz w:val="28"/>
          <w:szCs w:val="28"/>
          <w:lang w:val="en-GB"/>
        </w:rPr>
        <w:t>Lesson to be learned</w:t>
      </w:r>
    </w:p>
    <w:p w14:paraId="405A6454" w14:textId="77777777" w:rsidR="00A32AB3" w:rsidRPr="008E08B3" w:rsidRDefault="00A32AB3" w:rsidP="00F103A0">
      <w:pPr>
        <w:autoSpaceDE w:val="0"/>
        <w:autoSpaceDN w:val="0"/>
        <w:adjustRightInd w:val="0"/>
        <w:spacing w:after="0" w:line="240" w:lineRule="atLeast"/>
        <w:jc w:val="both"/>
        <w:rPr>
          <w:rFonts w:ascii="Arial" w:eastAsia="Times" w:hAnsi="Arial" w:cs="Arial"/>
          <w:sz w:val="18"/>
          <w:szCs w:val="18"/>
          <w:lang w:val="en-US"/>
        </w:rPr>
      </w:pPr>
    </w:p>
    <w:p w14:paraId="66C7C3FA" w14:textId="603E532C" w:rsidR="00946B6C" w:rsidRPr="008E08B3" w:rsidRDefault="00C91393" w:rsidP="00F103A0">
      <w:pPr>
        <w:autoSpaceDE w:val="0"/>
        <w:autoSpaceDN w:val="0"/>
        <w:adjustRightInd w:val="0"/>
        <w:spacing w:after="0" w:line="240" w:lineRule="atLeast"/>
        <w:jc w:val="both"/>
        <w:rPr>
          <w:rFonts w:ascii="Arial" w:eastAsia="Times" w:hAnsi="Arial" w:cs="Arial"/>
          <w:sz w:val="18"/>
          <w:szCs w:val="18"/>
          <w:lang w:val="en-US"/>
        </w:rPr>
      </w:pPr>
      <w:r>
        <w:rPr>
          <w:rFonts w:ascii="Arial" w:eastAsia="Times" w:hAnsi="Arial" w:cs="Arial"/>
          <w:sz w:val="18"/>
          <w:szCs w:val="18"/>
          <w:lang w:val="en-GB"/>
        </w:rPr>
        <w:t>An investor in a UCITS that has become ineligible for an SME-PEA one and half years after subscription may not claim compensation</w:t>
      </w:r>
      <w:r w:rsidR="008E08B3" w:rsidRPr="008E08B3">
        <w:rPr>
          <w:rFonts w:ascii="Arial" w:eastAsia="Times" w:hAnsi="Arial" w:cs="Arial"/>
          <w:sz w:val="18"/>
          <w:szCs w:val="18"/>
          <w:lang w:val="en-GB"/>
        </w:rPr>
        <w:t xml:space="preserve"> </w:t>
      </w:r>
      <w:r w:rsidR="008E08B3">
        <w:rPr>
          <w:rFonts w:ascii="Arial" w:eastAsia="Times" w:hAnsi="Arial" w:cs="Arial"/>
          <w:sz w:val="18"/>
          <w:szCs w:val="18"/>
          <w:lang w:val="en-GB"/>
        </w:rPr>
        <w:t>from his account-keeping institution for the loss he considers he has suffered</w:t>
      </w:r>
      <w:r>
        <w:rPr>
          <w:rFonts w:ascii="Arial" w:eastAsia="Times" w:hAnsi="Arial" w:cs="Arial"/>
          <w:sz w:val="18"/>
          <w:szCs w:val="18"/>
          <w:lang w:val="en-GB"/>
        </w:rPr>
        <w:t>, on the grounds of a failure to provide advice. The investor has no further right of recourse against the investment management company in respect of a management decision taken in accordance with regulations that includes fulfilling an obligation to inform investors.</w:t>
      </w:r>
    </w:p>
    <w:p w14:paraId="18B64961" w14:textId="77777777" w:rsidR="00F426C6" w:rsidRPr="008E08B3" w:rsidRDefault="00F426C6" w:rsidP="00F103A0">
      <w:pPr>
        <w:autoSpaceDE w:val="0"/>
        <w:autoSpaceDN w:val="0"/>
        <w:adjustRightInd w:val="0"/>
        <w:spacing w:after="0" w:line="240" w:lineRule="atLeast"/>
        <w:jc w:val="both"/>
        <w:rPr>
          <w:rFonts w:ascii="Arial" w:eastAsia="Times" w:hAnsi="Arial" w:cs="Arial"/>
          <w:sz w:val="18"/>
          <w:szCs w:val="18"/>
          <w:lang w:val="en-US"/>
        </w:rPr>
      </w:pPr>
    </w:p>
    <w:p w14:paraId="2429D5DF" w14:textId="77777777" w:rsidR="000F5CA6" w:rsidRPr="008E08B3" w:rsidRDefault="00C91393" w:rsidP="00F103A0">
      <w:pPr>
        <w:autoSpaceDE w:val="0"/>
        <w:autoSpaceDN w:val="0"/>
        <w:adjustRightInd w:val="0"/>
        <w:spacing w:after="0" w:line="240" w:lineRule="atLeast"/>
        <w:jc w:val="both"/>
        <w:rPr>
          <w:rFonts w:ascii="Arial" w:eastAsia="Times" w:hAnsi="Arial" w:cs="Arial"/>
          <w:sz w:val="18"/>
          <w:szCs w:val="18"/>
          <w:lang w:val="en-US"/>
        </w:rPr>
      </w:pPr>
      <w:r>
        <w:rPr>
          <w:rFonts w:ascii="Arial" w:eastAsia="Times" w:hAnsi="Arial" w:cs="Arial"/>
          <w:sz w:val="18"/>
          <w:szCs w:val="18"/>
          <w:lang w:val="en-GB"/>
        </w:rPr>
        <w:t>Note that, as I pointed out in my Case of the Month from February 2015,</w:t>
      </w:r>
      <w:r>
        <w:rPr>
          <w:rStyle w:val="Appelnotedebasdep"/>
          <w:rFonts w:ascii="Arial" w:eastAsia="Times" w:hAnsi="Arial" w:cs="Arial"/>
          <w:sz w:val="18"/>
          <w:szCs w:val="18"/>
          <w:lang w:val="en-GB"/>
        </w:rPr>
        <w:footnoteReference w:id="4"/>
      </w:r>
      <w:r>
        <w:rPr>
          <w:rFonts w:ascii="Arial" w:eastAsia="Times" w:hAnsi="Arial" w:cs="Arial"/>
          <w:sz w:val="18"/>
          <w:szCs w:val="18"/>
          <w:lang w:val="en-GB"/>
        </w:rPr>
        <w:t xml:space="preserve"> the situation may be somewhat different when the security is ineligible at the time of subscription and the account holder provides false information to its clients by indicating on its website that the security is eligible for a PEA.</w:t>
      </w:r>
    </w:p>
    <w:sectPr w:rsidR="000F5CA6" w:rsidRPr="008E08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147D1" w14:textId="77777777" w:rsidR="00E72FC9" w:rsidRDefault="00E72FC9" w:rsidP="000F5CA6">
      <w:pPr>
        <w:spacing w:after="0" w:line="240" w:lineRule="auto"/>
      </w:pPr>
      <w:r>
        <w:separator/>
      </w:r>
    </w:p>
  </w:endnote>
  <w:endnote w:type="continuationSeparator" w:id="0">
    <w:p w14:paraId="119E8BD5" w14:textId="77777777" w:rsidR="00E72FC9" w:rsidRDefault="00E72FC9" w:rsidP="000F5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2DF48" w14:textId="77777777" w:rsidR="00E72FC9" w:rsidRDefault="00E72FC9" w:rsidP="000F5CA6">
      <w:pPr>
        <w:spacing w:after="0" w:line="240" w:lineRule="auto"/>
      </w:pPr>
      <w:r>
        <w:separator/>
      </w:r>
    </w:p>
  </w:footnote>
  <w:footnote w:type="continuationSeparator" w:id="0">
    <w:p w14:paraId="73DA0CCB" w14:textId="77777777" w:rsidR="00E72FC9" w:rsidRDefault="00E72FC9" w:rsidP="000F5CA6">
      <w:pPr>
        <w:spacing w:after="0" w:line="240" w:lineRule="auto"/>
      </w:pPr>
      <w:r>
        <w:continuationSeparator/>
      </w:r>
    </w:p>
  </w:footnote>
  <w:footnote w:id="1">
    <w:p w14:paraId="5FA6BE48" w14:textId="77777777" w:rsidR="00864ADB" w:rsidRPr="008E08B3" w:rsidRDefault="00864ADB">
      <w:pPr>
        <w:pStyle w:val="Notedebasdepage"/>
        <w:rPr>
          <w:lang w:val="en-US"/>
        </w:rPr>
      </w:pPr>
      <w:r>
        <w:rPr>
          <w:rStyle w:val="Appelnotedebasdep"/>
          <w:lang w:val="en-GB"/>
        </w:rPr>
        <w:footnoteRef/>
      </w:r>
      <w:r>
        <w:rPr>
          <w:lang w:val="en-GB"/>
        </w:rPr>
        <w:t xml:space="preserve"> </w:t>
      </w:r>
      <w:r>
        <w:rPr>
          <w:sz w:val="18"/>
          <w:szCs w:val="18"/>
          <w:lang w:val="en-GB"/>
        </w:rPr>
        <w:t xml:space="preserve">Listed or unlisted shares, directly or through a UCITS, complying with regulatory limits, i.e. with a turnover of less than €1.5 billion for unlisted shares and €1 billion for shares. </w:t>
      </w:r>
    </w:p>
  </w:footnote>
  <w:footnote w:id="2">
    <w:p w14:paraId="1ADEC5F2" w14:textId="714EC70F" w:rsidR="0012069C" w:rsidRPr="008E08B3" w:rsidRDefault="0012069C">
      <w:pPr>
        <w:pStyle w:val="Notedebasdepage"/>
        <w:rPr>
          <w:lang w:val="en-US"/>
        </w:rPr>
      </w:pPr>
      <w:r>
        <w:rPr>
          <w:rStyle w:val="Appelnotedebasdep"/>
          <w:lang w:val="en-GB"/>
        </w:rPr>
        <w:footnoteRef/>
      </w:r>
      <w:r>
        <w:rPr>
          <w:lang w:val="en-GB"/>
        </w:rPr>
        <w:t xml:space="preserve"> </w:t>
      </w:r>
      <w:r>
        <w:rPr>
          <w:sz w:val="18"/>
          <w:szCs w:val="18"/>
          <w:lang w:val="en-GB"/>
        </w:rPr>
        <w:t xml:space="preserve">In this case it was an SME-PEA, but the rules are identical to those </w:t>
      </w:r>
      <w:r w:rsidR="00B94C7C">
        <w:rPr>
          <w:sz w:val="18"/>
          <w:szCs w:val="18"/>
          <w:lang w:val="en-GB"/>
        </w:rPr>
        <w:t>for</w:t>
      </w:r>
      <w:r>
        <w:rPr>
          <w:sz w:val="18"/>
          <w:szCs w:val="18"/>
          <w:lang w:val="en-GB"/>
        </w:rPr>
        <w:t xml:space="preserve"> a traditional PEA.</w:t>
      </w:r>
      <w:r>
        <w:rPr>
          <w:lang w:val="en-GB"/>
        </w:rPr>
        <w:t xml:space="preserve"> </w:t>
      </w:r>
    </w:p>
  </w:footnote>
  <w:footnote w:id="3">
    <w:p w14:paraId="6F5C9D11" w14:textId="77777777" w:rsidR="00842730" w:rsidRPr="008E08B3" w:rsidRDefault="00842730">
      <w:pPr>
        <w:pStyle w:val="Notedebasdepage"/>
        <w:rPr>
          <w:lang w:val="en-US"/>
        </w:rPr>
      </w:pPr>
      <w:r>
        <w:rPr>
          <w:rStyle w:val="Appelnotedebasdep"/>
          <w:lang w:val="en-GB"/>
        </w:rPr>
        <w:footnoteRef/>
      </w:r>
      <w:r>
        <w:rPr>
          <w:lang w:val="en-GB"/>
        </w:rPr>
        <w:t xml:space="preserve"> </w:t>
      </w:r>
      <w:r>
        <w:rPr>
          <w:rStyle w:val="notepage"/>
          <w:sz w:val="16"/>
          <w:szCs w:val="16"/>
          <w:lang w:val="en-GB"/>
        </w:rPr>
        <w:t>UCITS (Undertaking for Collective Investment in Transferable Securities) – Portfolios of securities (shares, bonds, etc.) that are managed by professionals (an investment management company) and held collectively by individual or institutional investors. There are two types of UCITS, SICAVs (open-ended investment companies) and FCPs (unit trusts).</w:t>
      </w:r>
    </w:p>
  </w:footnote>
  <w:footnote w:id="4">
    <w:p w14:paraId="4F02924E" w14:textId="77777777" w:rsidR="00CD4315" w:rsidRPr="008E08B3" w:rsidRDefault="00CD4315">
      <w:pPr>
        <w:pStyle w:val="Notedebasdepage"/>
        <w:rPr>
          <w:lang w:val="en-US"/>
        </w:rPr>
      </w:pPr>
      <w:r>
        <w:rPr>
          <w:rStyle w:val="Appelnotedebasdep"/>
          <w:lang w:val="en-GB"/>
        </w:rPr>
        <w:footnoteRef/>
      </w:r>
      <w:r>
        <w:rPr>
          <w:lang w:val="en-GB"/>
        </w:rPr>
        <w:t xml:space="preserve"> Also read the Case of the Month from February 2015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B4913"/>
    <w:multiLevelType w:val="hybridMultilevel"/>
    <w:tmpl w:val="453A3454"/>
    <w:lvl w:ilvl="0" w:tplc="01D82E0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57A56DA"/>
    <w:multiLevelType w:val="hybridMultilevel"/>
    <w:tmpl w:val="9E22253C"/>
    <w:lvl w:ilvl="0" w:tplc="591623CC">
      <w:numFmt w:val="bullet"/>
      <w:lvlText w:val="-"/>
      <w:lvlJc w:val="left"/>
      <w:pPr>
        <w:ind w:left="1068" w:hanging="360"/>
      </w:pPr>
      <w:rPr>
        <w:rFonts w:ascii="Arial" w:eastAsia="Times"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3CD442D3"/>
    <w:multiLevelType w:val="hybridMultilevel"/>
    <w:tmpl w:val="476C68A0"/>
    <w:lvl w:ilvl="0" w:tplc="C93A58BA">
      <w:start w:val="13"/>
      <w:numFmt w:val="bullet"/>
      <w:lvlText w:val="-"/>
      <w:lvlJc w:val="left"/>
      <w:pPr>
        <w:ind w:left="1068" w:hanging="360"/>
      </w:pPr>
      <w:rPr>
        <w:rFonts w:ascii="Arial" w:eastAsia="Times"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6B7C4F78"/>
    <w:multiLevelType w:val="hybridMultilevel"/>
    <w:tmpl w:val="C0FAD1E4"/>
    <w:lvl w:ilvl="0" w:tplc="C37AC91C">
      <w:numFmt w:val="bullet"/>
      <w:lvlText w:val="-"/>
      <w:lvlJc w:val="left"/>
      <w:pPr>
        <w:ind w:left="1068" w:hanging="360"/>
      </w:pPr>
      <w:rPr>
        <w:rFonts w:ascii="Arial" w:eastAsia="Times"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CA6"/>
    <w:rsid w:val="0001235B"/>
    <w:rsid w:val="00026FC7"/>
    <w:rsid w:val="00040F65"/>
    <w:rsid w:val="00044DD2"/>
    <w:rsid w:val="00055483"/>
    <w:rsid w:val="000951DC"/>
    <w:rsid w:val="000D299E"/>
    <w:rsid w:val="000F5CA6"/>
    <w:rsid w:val="001128D6"/>
    <w:rsid w:val="00113B07"/>
    <w:rsid w:val="0012069C"/>
    <w:rsid w:val="00127BAD"/>
    <w:rsid w:val="0013203E"/>
    <w:rsid w:val="0014358C"/>
    <w:rsid w:val="00145549"/>
    <w:rsid w:val="00145604"/>
    <w:rsid w:val="00180869"/>
    <w:rsid w:val="001B785B"/>
    <w:rsid w:val="001D599E"/>
    <w:rsid w:val="001E2666"/>
    <w:rsid w:val="001E41EC"/>
    <w:rsid w:val="0025700A"/>
    <w:rsid w:val="00295880"/>
    <w:rsid w:val="002B27A7"/>
    <w:rsid w:val="002C6437"/>
    <w:rsid w:val="002D08E9"/>
    <w:rsid w:val="002E1582"/>
    <w:rsid w:val="002E2238"/>
    <w:rsid w:val="002F164B"/>
    <w:rsid w:val="003627D1"/>
    <w:rsid w:val="00374288"/>
    <w:rsid w:val="00393EF2"/>
    <w:rsid w:val="003A0EC7"/>
    <w:rsid w:val="003A138A"/>
    <w:rsid w:val="003D5F42"/>
    <w:rsid w:val="003D5F6F"/>
    <w:rsid w:val="003E35DF"/>
    <w:rsid w:val="0041243C"/>
    <w:rsid w:val="00474F1B"/>
    <w:rsid w:val="00495D7C"/>
    <w:rsid w:val="004C7D93"/>
    <w:rsid w:val="004E1F9C"/>
    <w:rsid w:val="004F2D1A"/>
    <w:rsid w:val="0054659E"/>
    <w:rsid w:val="0055388F"/>
    <w:rsid w:val="00562C5B"/>
    <w:rsid w:val="00571CDD"/>
    <w:rsid w:val="005B30CA"/>
    <w:rsid w:val="005E4EDD"/>
    <w:rsid w:val="0061524E"/>
    <w:rsid w:val="006230F5"/>
    <w:rsid w:val="006530E8"/>
    <w:rsid w:val="006852C5"/>
    <w:rsid w:val="006B50BF"/>
    <w:rsid w:val="006F33F9"/>
    <w:rsid w:val="006F4955"/>
    <w:rsid w:val="00704D02"/>
    <w:rsid w:val="00713537"/>
    <w:rsid w:val="00716B7C"/>
    <w:rsid w:val="00724CBA"/>
    <w:rsid w:val="00736E92"/>
    <w:rsid w:val="00737167"/>
    <w:rsid w:val="0074272F"/>
    <w:rsid w:val="00751C29"/>
    <w:rsid w:val="007550C5"/>
    <w:rsid w:val="007836BF"/>
    <w:rsid w:val="007B7E34"/>
    <w:rsid w:val="007C024B"/>
    <w:rsid w:val="007C70D0"/>
    <w:rsid w:val="007C7CC9"/>
    <w:rsid w:val="007E013C"/>
    <w:rsid w:val="007E3A14"/>
    <w:rsid w:val="007F74E3"/>
    <w:rsid w:val="00812755"/>
    <w:rsid w:val="00821F9A"/>
    <w:rsid w:val="00826597"/>
    <w:rsid w:val="00836E3B"/>
    <w:rsid w:val="00842730"/>
    <w:rsid w:val="0085174C"/>
    <w:rsid w:val="00851EAB"/>
    <w:rsid w:val="00860D2E"/>
    <w:rsid w:val="00864ADB"/>
    <w:rsid w:val="008753D4"/>
    <w:rsid w:val="00887E3F"/>
    <w:rsid w:val="0089732F"/>
    <w:rsid w:val="008A0F31"/>
    <w:rsid w:val="008B37CD"/>
    <w:rsid w:val="008B784C"/>
    <w:rsid w:val="008D3E7F"/>
    <w:rsid w:val="008E08B3"/>
    <w:rsid w:val="008E6526"/>
    <w:rsid w:val="00912086"/>
    <w:rsid w:val="009125EB"/>
    <w:rsid w:val="00920F7A"/>
    <w:rsid w:val="0092371F"/>
    <w:rsid w:val="00930A4D"/>
    <w:rsid w:val="00946B6C"/>
    <w:rsid w:val="009528DE"/>
    <w:rsid w:val="00952A78"/>
    <w:rsid w:val="009B2A67"/>
    <w:rsid w:val="009B2AFD"/>
    <w:rsid w:val="009B7CF1"/>
    <w:rsid w:val="009C4724"/>
    <w:rsid w:val="009E3D6A"/>
    <w:rsid w:val="009F2570"/>
    <w:rsid w:val="00A0184C"/>
    <w:rsid w:val="00A32AB3"/>
    <w:rsid w:val="00A41A31"/>
    <w:rsid w:val="00A539F4"/>
    <w:rsid w:val="00A55F00"/>
    <w:rsid w:val="00A56A07"/>
    <w:rsid w:val="00A7396E"/>
    <w:rsid w:val="00A7578B"/>
    <w:rsid w:val="00A87427"/>
    <w:rsid w:val="00A87AF8"/>
    <w:rsid w:val="00AF161E"/>
    <w:rsid w:val="00AF1D70"/>
    <w:rsid w:val="00B136A8"/>
    <w:rsid w:val="00B17863"/>
    <w:rsid w:val="00B65AFE"/>
    <w:rsid w:val="00B77F33"/>
    <w:rsid w:val="00B80C25"/>
    <w:rsid w:val="00B9432E"/>
    <w:rsid w:val="00B94C7C"/>
    <w:rsid w:val="00BA4BAB"/>
    <w:rsid w:val="00BE6C51"/>
    <w:rsid w:val="00BF49A9"/>
    <w:rsid w:val="00C02847"/>
    <w:rsid w:val="00C1149A"/>
    <w:rsid w:val="00C2513B"/>
    <w:rsid w:val="00C3099B"/>
    <w:rsid w:val="00C91393"/>
    <w:rsid w:val="00CB0E16"/>
    <w:rsid w:val="00CB6EDF"/>
    <w:rsid w:val="00CD4315"/>
    <w:rsid w:val="00CF1641"/>
    <w:rsid w:val="00D11083"/>
    <w:rsid w:val="00D234AB"/>
    <w:rsid w:val="00D36557"/>
    <w:rsid w:val="00D61F2C"/>
    <w:rsid w:val="00D7160D"/>
    <w:rsid w:val="00DA4B01"/>
    <w:rsid w:val="00DC0490"/>
    <w:rsid w:val="00DC7F8F"/>
    <w:rsid w:val="00E31449"/>
    <w:rsid w:val="00E452FC"/>
    <w:rsid w:val="00E72FC9"/>
    <w:rsid w:val="00E95542"/>
    <w:rsid w:val="00EA155E"/>
    <w:rsid w:val="00EE20AC"/>
    <w:rsid w:val="00EF274E"/>
    <w:rsid w:val="00F00E72"/>
    <w:rsid w:val="00F103A0"/>
    <w:rsid w:val="00F341D7"/>
    <w:rsid w:val="00F348FC"/>
    <w:rsid w:val="00F426C6"/>
    <w:rsid w:val="00F5573C"/>
    <w:rsid w:val="00FA73D4"/>
    <w:rsid w:val="00FE1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4E9F6"/>
  <w15:docId w15:val="{EB176E48-F76C-4DBB-A67C-A650E4ED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F5CA6"/>
    <w:pPr>
      <w:spacing w:after="0" w:line="240" w:lineRule="auto"/>
      <w:jc w:val="both"/>
    </w:pPr>
    <w:rPr>
      <w:rFonts w:ascii="Arial" w:eastAsia="Times" w:hAnsi="Arial" w:cs="Times New Roman"/>
      <w:sz w:val="20"/>
      <w:szCs w:val="20"/>
      <w:lang w:eastAsia="fr-FR"/>
    </w:rPr>
  </w:style>
  <w:style w:type="character" w:customStyle="1" w:styleId="NotedebasdepageCar">
    <w:name w:val="Note de bas de page Car"/>
    <w:basedOn w:val="Policepardfaut"/>
    <w:link w:val="Notedebasdepage"/>
    <w:uiPriority w:val="99"/>
    <w:semiHidden/>
    <w:rsid w:val="000F5CA6"/>
    <w:rPr>
      <w:rFonts w:ascii="Arial" w:eastAsia="Times" w:hAnsi="Arial" w:cs="Times New Roman"/>
      <w:sz w:val="20"/>
      <w:szCs w:val="20"/>
      <w:lang w:eastAsia="fr-FR"/>
    </w:rPr>
  </w:style>
  <w:style w:type="character" w:styleId="Appelnotedebasdep">
    <w:name w:val="footnote reference"/>
    <w:basedOn w:val="Policepardfaut"/>
    <w:uiPriority w:val="99"/>
    <w:semiHidden/>
    <w:unhideWhenUsed/>
    <w:rsid w:val="000F5CA6"/>
    <w:rPr>
      <w:vertAlign w:val="superscript"/>
    </w:rPr>
  </w:style>
  <w:style w:type="character" w:styleId="Lienhypertexte">
    <w:name w:val="Hyperlink"/>
    <w:basedOn w:val="Policepardfaut"/>
    <w:uiPriority w:val="99"/>
    <w:unhideWhenUsed/>
    <w:rsid w:val="000F5CA6"/>
    <w:rPr>
      <w:color w:val="0000FF" w:themeColor="hyperlink"/>
      <w:u w:val="single"/>
    </w:rPr>
  </w:style>
  <w:style w:type="character" w:customStyle="1" w:styleId="tgc">
    <w:name w:val="_tgc"/>
    <w:basedOn w:val="Policepardfaut"/>
    <w:rsid w:val="000F5CA6"/>
  </w:style>
  <w:style w:type="paragraph" w:styleId="Paragraphedeliste">
    <w:name w:val="List Paragraph"/>
    <w:basedOn w:val="Normal"/>
    <w:uiPriority w:val="34"/>
    <w:qFormat/>
    <w:rsid w:val="00F103A0"/>
    <w:pPr>
      <w:spacing w:after="0" w:line="240" w:lineRule="atLeast"/>
      <w:ind w:left="720"/>
      <w:contextualSpacing/>
      <w:jc w:val="both"/>
    </w:pPr>
    <w:rPr>
      <w:rFonts w:ascii="Arial" w:eastAsia="Times" w:hAnsi="Arial" w:cs="Times New Roman"/>
      <w:sz w:val="18"/>
      <w:szCs w:val="20"/>
      <w:lang w:eastAsia="fr-FR"/>
    </w:rPr>
  </w:style>
  <w:style w:type="paragraph" w:styleId="Textedebulles">
    <w:name w:val="Balloon Text"/>
    <w:basedOn w:val="Normal"/>
    <w:link w:val="TextedebullesCar"/>
    <w:uiPriority w:val="99"/>
    <w:semiHidden/>
    <w:unhideWhenUsed/>
    <w:rsid w:val="00946B6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6B6C"/>
    <w:rPr>
      <w:rFonts w:ascii="Segoe UI" w:hAnsi="Segoe UI" w:cs="Segoe UI"/>
      <w:sz w:val="18"/>
      <w:szCs w:val="18"/>
    </w:rPr>
  </w:style>
  <w:style w:type="character" w:customStyle="1" w:styleId="notepage">
    <w:name w:val="notepage"/>
    <w:basedOn w:val="Policepardfaut"/>
    <w:rsid w:val="00842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343E7-8461-44C9-B9B0-3D317840D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1238</Words>
  <Characters>6813</Characters>
  <Application>Microsoft Office Word</Application>
  <DocSecurity>0</DocSecurity>
  <Lines>56</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AMF</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LAVOLE Virginie</dc:creator>
  <cp:lastModifiedBy>Garry HUTTON</cp:lastModifiedBy>
  <cp:revision>3</cp:revision>
  <cp:lastPrinted>2019-09-17T12:59:00Z</cp:lastPrinted>
  <dcterms:created xsi:type="dcterms:W3CDTF">2019-10-15T13:34:00Z</dcterms:created>
  <dcterms:modified xsi:type="dcterms:W3CDTF">2019-10-15T13:34:00Z</dcterms:modified>
</cp:coreProperties>
</file>