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A27088" w:rsidRDefault="00E1204F" w:rsidP="00061209">
      <w:pPr>
        <w:pStyle w:val="AMFTitre"/>
        <w:ind w:left="0"/>
        <w:rPr>
          <w:sz w:val="24"/>
          <w:szCs w:val="24"/>
        </w:rPr>
      </w:pPr>
      <w:r w:rsidRPr="00A27088">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24F70">
        <w:rPr>
          <w:sz w:val="24"/>
          <w:szCs w:val="24"/>
        </w:rPr>
        <w:t>PLAN-TYPE DE LA NOTE D’INFORMATION</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124F70" w:rsidRDefault="00124F70" w:rsidP="00684FDF">
      <w:pPr>
        <w:pStyle w:val="AMFDate"/>
        <w:ind w:left="0"/>
        <w:jc w:val="left"/>
        <w:rPr>
          <w:rFonts w:asciiTheme="minorHAnsi" w:hAnsiTheme="minorHAnsi" w:cstheme="minorHAnsi"/>
        </w:rPr>
      </w:pPr>
    </w:p>
    <w:p w:rsidR="00684FDF" w:rsidRPr="00124F70" w:rsidRDefault="00A27088" w:rsidP="00A27088">
      <w:pPr>
        <w:pStyle w:val="AMFDate"/>
        <w:ind w:left="0"/>
        <w:jc w:val="both"/>
        <w:rPr>
          <w:rFonts w:asciiTheme="minorHAnsi" w:hAnsiTheme="minorHAnsi" w:cstheme="minorHAnsi"/>
          <w:sz w:val="22"/>
          <w:szCs w:val="22"/>
        </w:rPr>
      </w:pPr>
      <w:r w:rsidRPr="00124F70">
        <w:rPr>
          <w:rFonts w:asciiTheme="minorHAnsi" w:hAnsiTheme="minorHAnsi" w:cstheme="minorHAnsi"/>
          <w:iCs/>
          <w:sz w:val="22"/>
          <w:szCs w:val="22"/>
        </w:rPr>
        <w:t xml:space="preserve">Ce document constitue l’annexe II de l’instruction AMF </w:t>
      </w:r>
      <w:r w:rsidRPr="00124F70">
        <w:rPr>
          <w:rFonts w:asciiTheme="minorHAnsi" w:hAnsiTheme="minorHAnsi" w:cstheme="minorHAnsi"/>
          <w:sz w:val="22"/>
          <w:szCs w:val="22"/>
        </w:rPr>
        <w:t xml:space="preserve">- </w:t>
      </w:r>
      <w:r w:rsidR="00124F70" w:rsidRPr="00124F70">
        <w:rPr>
          <w:rFonts w:asciiTheme="minorHAnsi" w:hAnsiTheme="minorHAnsi" w:cstheme="minorHAnsi"/>
          <w:sz w:val="22"/>
          <w:szCs w:val="22"/>
        </w:rPr>
        <w:t xml:space="preserve">Procédures d’enregistrement et établissement d’un document d’information devant être déposé auprès de l’AMF par les intermédiaires en biens divers </w:t>
      </w:r>
      <w:r w:rsidRPr="00124F70">
        <w:rPr>
          <w:rFonts w:asciiTheme="minorHAnsi" w:hAnsiTheme="minorHAnsi" w:cstheme="minorHAnsi"/>
          <w:sz w:val="22"/>
          <w:szCs w:val="22"/>
        </w:rPr>
        <w:t>– DOC-201</w:t>
      </w:r>
      <w:r w:rsidR="00124F70" w:rsidRPr="00124F70">
        <w:rPr>
          <w:rFonts w:asciiTheme="minorHAnsi" w:hAnsiTheme="minorHAnsi" w:cstheme="minorHAnsi"/>
          <w:sz w:val="22"/>
          <w:szCs w:val="22"/>
        </w:rPr>
        <w:t>7</w:t>
      </w:r>
      <w:r w:rsidRPr="00124F70">
        <w:rPr>
          <w:rFonts w:asciiTheme="minorHAnsi" w:hAnsiTheme="minorHAnsi" w:cstheme="minorHAnsi"/>
          <w:sz w:val="22"/>
          <w:szCs w:val="22"/>
        </w:rPr>
        <w:t>-</w:t>
      </w:r>
      <w:r w:rsidR="00124F70" w:rsidRPr="00124F70">
        <w:rPr>
          <w:rFonts w:asciiTheme="minorHAnsi" w:hAnsiTheme="minorHAnsi" w:cstheme="minorHAnsi"/>
          <w:sz w:val="22"/>
          <w:szCs w:val="22"/>
        </w:rPr>
        <w:t>06</w:t>
      </w:r>
    </w:p>
    <w:p w:rsidR="00684FDF" w:rsidRDefault="00684FDF" w:rsidP="00684FDF">
      <w:pPr>
        <w:pStyle w:val="AMFDate"/>
        <w:ind w:left="0"/>
        <w:jc w:val="left"/>
        <w:rPr>
          <w:rFonts w:asciiTheme="minorHAnsi" w:hAnsiTheme="minorHAnsi" w:cstheme="minorHAnsi"/>
        </w:rPr>
      </w:pPr>
    </w:p>
    <w:p w:rsidR="005C6282" w:rsidRDefault="005C6282" w:rsidP="005C6282">
      <w:pPr>
        <w:spacing w:line="360" w:lineRule="auto"/>
        <w:jc w:val="both"/>
        <w:rPr>
          <w:rFonts w:ascii="Calibri" w:hAnsi="Calibri" w:cs="Arial"/>
          <w:b/>
          <w:sz w:val="20"/>
          <w:szCs w:val="22"/>
          <w:u w:val="single"/>
        </w:rPr>
      </w:pPr>
    </w:p>
    <w:p w:rsidR="002847F6" w:rsidRDefault="002847F6" w:rsidP="005C6282">
      <w:pPr>
        <w:spacing w:line="360" w:lineRule="auto"/>
        <w:jc w:val="both"/>
        <w:rPr>
          <w:rFonts w:ascii="Calibri" w:hAnsi="Calibri" w:cs="Arial"/>
          <w:b/>
          <w:sz w:val="20"/>
          <w:szCs w:val="22"/>
          <w:u w:val="single"/>
        </w:rPr>
      </w:pPr>
    </w:p>
    <w:p w:rsidR="002847F6" w:rsidRPr="002847F6" w:rsidRDefault="002847F6" w:rsidP="002847F6">
      <w:pPr>
        <w:spacing w:line="360" w:lineRule="auto"/>
        <w:jc w:val="both"/>
        <w:rPr>
          <w:rFonts w:ascii="Calibri" w:hAnsi="Calibri" w:cs="Arial"/>
          <w:b/>
          <w:bCs/>
          <w:sz w:val="20"/>
          <w:szCs w:val="22"/>
        </w:rPr>
      </w:pPr>
      <w:r w:rsidRPr="002847F6">
        <w:rPr>
          <w:rFonts w:ascii="Calibri" w:hAnsi="Calibri" w:cs="Arial"/>
          <w:b/>
          <w:bCs/>
          <w:sz w:val="20"/>
          <w:szCs w:val="22"/>
        </w:rPr>
        <w:t>I. Caractéristiques générales de l’opération</w:t>
      </w:r>
    </w:p>
    <w:p w:rsidR="002847F6" w:rsidRPr="002847F6" w:rsidRDefault="002847F6" w:rsidP="002847F6">
      <w:pPr>
        <w:spacing w:line="360" w:lineRule="auto"/>
        <w:jc w:val="both"/>
        <w:rPr>
          <w:rFonts w:ascii="Calibri" w:hAnsi="Calibri" w:cs="Arial"/>
          <w:b/>
          <w:bCs/>
          <w:sz w:val="20"/>
          <w:szCs w:val="22"/>
        </w:rPr>
      </w:pPr>
    </w:p>
    <w:p w:rsidR="002847F6" w:rsidRPr="002847F6" w:rsidRDefault="002847F6" w:rsidP="002847F6">
      <w:pPr>
        <w:spacing w:line="360" w:lineRule="auto"/>
        <w:jc w:val="both"/>
        <w:rPr>
          <w:rFonts w:ascii="Calibri" w:hAnsi="Calibri" w:cs="Arial"/>
          <w:sz w:val="20"/>
          <w:szCs w:val="22"/>
        </w:rPr>
      </w:pPr>
      <w:r w:rsidRPr="002847F6">
        <w:rPr>
          <w:rFonts w:ascii="Calibri" w:hAnsi="Calibri" w:cs="Arial"/>
          <w:sz w:val="20"/>
          <w:szCs w:val="22"/>
        </w:rPr>
        <w:t xml:space="preserve">Cette rubrique comporte les caractéristiques générales de l’opération de biens divers. </w:t>
      </w:r>
    </w:p>
    <w:p w:rsidR="002847F6" w:rsidRPr="002847F6" w:rsidRDefault="002847F6" w:rsidP="002847F6">
      <w:pPr>
        <w:spacing w:line="360" w:lineRule="auto"/>
        <w:jc w:val="both"/>
        <w:rPr>
          <w:rFonts w:ascii="Calibri" w:hAnsi="Calibri" w:cs="Arial"/>
          <w:sz w:val="20"/>
          <w:szCs w:val="22"/>
        </w:rPr>
      </w:pPr>
    </w:p>
    <w:p w:rsidR="002847F6" w:rsidRPr="002847F6" w:rsidRDefault="002847F6" w:rsidP="00AF412F">
      <w:pPr>
        <w:numPr>
          <w:ilvl w:val="0"/>
          <w:numId w:val="5"/>
        </w:numPr>
        <w:spacing w:line="360" w:lineRule="auto"/>
        <w:jc w:val="both"/>
        <w:rPr>
          <w:rFonts w:ascii="Calibri" w:hAnsi="Calibri" w:cs="Arial"/>
          <w:sz w:val="20"/>
          <w:szCs w:val="22"/>
        </w:rPr>
      </w:pPr>
      <w:r w:rsidRPr="002847F6">
        <w:rPr>
          <w:rFonts w:ascii="Calibri" w:hAnsi="Calibri" w:cs="Arial"/>
          <w:sz w:val="20"/>
          <w:szCs w:val="22"/>
        </w:rPr>
        <w:t>Dénomination de l’offre ;</w:t>
      </w:r>
    </w:p>
    <w:p w:rsidR="002847F6" w:rsidRPr="002847F6" w:rsidRDefault="002847F6" w:rsidP="002847F6">
      <w:pPr>
        <w:spacing w:line="360" w:lineRule="auto"/>
        <w:jc w:val="both"/>
        <w:rPr>
          <w:rFonts w:ascii="Calibri" w:hAnsi="Calibri" w:cs="Arial"/>
          <w:sz w:val="20"/>
          <w:szCs w:val="22"/>
        </w:rPr>
      </w:pPr>
    </w:p>
    <w:p w:rsidR="002847F6" w:rsidRPr="002847F6" w:rsidRDefault="002847F6" w:rsidP="00AF412F">
      <w:pPr>
        <w:numPr>
          <w:ilvl w:val="0"/>
          <w:numId w:val="5"/>
        </w:numPr>
        <w:spacing w:line="360" w:lineRule="auto"/>
        <w:jc w:val="both"/>
        <w:rPr>
          <w:rFonts w:ascii="Calibri" w:hAnsi="Calibri" w:cs="Arial"/>
          <w:sz w:val="20"/>
          <w:szCs w:val="22"/>
        </w:rPr>
      </w:pPr>
      <w:r w:rsidRPr="002847F6">
        <w:rPr>
          <w:rFonts w:ascii="Calibri" w:hAnsi="Calibri" w:cs="Arial"/>
          <w:sz w:val="20"/>
          <w:szCs w:val="22"/>
        </w:rPr>
        <w:t>Insertion de l’avertissement :</w:t>
      </w:r>
    </w:p>
    <w:p w:rsidR="00124F70" w:rsidRDefault="00124F70" w:rsidP="005C6282">
      <w:pPr>
        <w:spacing w:line="360" w:lineRule="auto"/>
        <w:jc w:val="both"/>
        <w:rPr>
          <w:rFonts w:ascii="Calibri" w:hAnsi="Calibri" w:cs="Arial"/>
          <w:b/>
          <w:sz w:val="20"/>
          <w:szCs w:val="22"/>
          <w:u w:val="single"/>
        </w:rPr>
      </w:pPr>
    </w:p>
    <w:p w:rsidR="00124F70" w:rsidRPr="00124F70" w:rsidRDefault="00124F70" w:rsidP="00124F70">
      <w:pPr>
        <w:pStyle w:val="AMFDoctrineEncadr"/>
        <w:spacing w:line="360" w:lineRule="auto"/>
        <w:rPr>
          <w:i/>
          <w:iCs/>
        </w:rPr>
      </w:pPr>
      <w:r w:rsidRPr="00124F70">
        <w:rPr>
          <w:i/>
          <w:iCs/>
        </w:rPr>
        <w:t xml:space="preserve">« Ce document a été déposé auprès de l’Autorité des marchés financiers en application de l’article L. 551-3 du code monétaire et financier et a été enregistré sous le numéro XX le XX/XX/XXX. » </w:t>
      </w:r>
    </w:p>
    <w:p w:rsidR="005C6282" w:rsidRPr="00124F70" w:rsidRDefault="00124F70" w:rsidP="00A27088">
      <w:pPr>
        <w:pStyle w:val="AMFDoctrineEncadr"/>
        <w:spacing w:line="360" w:lineRule="auto"/>
        <w:rPr>
          <w:i/>
          <w:iCs/>
        </w:rPr>
      </w:pPr>
      <w:r w:rsidRPr="00124F70">
        <w:rPr>
          <w:i/>
          <w:iCs/>
        </w:rPr>
        <w:t>Cette mention matérialise la constatation que le numéro d’enregistrement du présent document d’information a été attribué après que l’AMF a vérifié que celui-ci est complet et compréhensible et que les informations qu’il contient sont cohérentes. Il n’implique pas l’authentification par l’AMF des éléments comptables et financiers présentés et ne constitue pas un label de qualité ni une garantie de bonne fin de l’opération ».</w:t>
      </w:r>
    </w:p>
    <w:p w:rsidR="005C6282" w:rsidRPr="00A27088" w:rsidRDefault="005C6282" w:rsidP="00A27088">
      <w:pPr>
        <w:jc w:val="both"/>
        <w:rPr>
          <w:rFonts w:asciiTheme="minorHAnsi" w:hAnsiTheme="minorHAnsi" w:cstheme="minorHAnsi"/>
          <w:sz w:val="20"/>
          <w:szCs w:val="20"/>
        </w:rPr>
      </w:pPr>
    </w:p>
    <w:p w:rsidR="00922AD8" w:rsidRDefault="00922AD8" w:rsidP="00A27088">
      <w:pPr>
        <w:jc w:val="both"/>
        <w:rPr>
          <w:rFonts w:asciiTheme="minorHAnsi" w:hAnsiTheme="minorHAnsi" w:cstheme="minorHAnsi"/>
          <w:sz w:val="20"/>
          <w:szCs w:val="20"/>
        </w:rPr>
      </w:pPr>
    </w:p>
    <w:p w:rsidR="00DA5393" w:rsidRPr="00DA5393" w:rsidRDefault="00DA5393" w:rsidP="00AF412F">
      <w:pPr>
        <w:numPr>
          <w:ilvl w:val="0"/>
          <w:numId w:val="5"/>
        </w:numPr>
        <w:spacing w:line="360" w:lineRule="auto"/>
        <w:jc w:val="both"/>
        <w:rPr>
          <w:rFonts w:asciiTheme="minorHAnsi" w:hAnsiTheme="minorHAnsi" w:cstheme="minorHAnsi"/>
          <w:sz w:val="20"/>
          <w:szCs w:val="20"/>
        </w:rPr>
      </w:pPr>
      <w:r w:rsidRPr="00DA5393">
        <w:rPr>
          <w:rFonts w:asciiTheme="minorHAnsi" w:hAnsiTheme="minorHAnsi" w:cstheme="minorHAnsi"/>
          <w:sz w:val="20"/>
          <w:szCs w:val="20"/>
        </w:rPr>
        <w:t xml:space="preserve">Schéma </w:t>
      </w:r>
      <w:r w:rsidRPr="00DA5393">
        <w:rPr>
          <w:rFonts w:ascii="Calibri" w:hAnsi="Calibri" w:cs="Arial"/>
          <w:sz w:val="20"/>
          <w:szCs w:val="22"/>
        </w:rPr>
        <w:t>global</w:t>
      </w:r>
      <w:r w:rsidRPr="00DA5393">
        <w:rPr>
          <w:rFonts w:asciiTheme="minorHAnsi" w:hAnsiTheme="minorHAnsi" w:cstheme="minorHAnsi"/>
          <w:sz w:val="20"/>
          <w:szCs w:val="20"/>
        </w:rPr>
        <w:t xml:space="preserve"> de l’opération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t>Le schéma doit être simple et permet d’avoir une vision globale de l’opération, en explicitant succinctement la nature du placement qui est proposé.</w:t>
      </w:r>
    </w:p>
    <w:p w:rsidR="00DA5393" w:rsidRPr="00DA5393" w:rsidRDefault="00DA5393" w:rsidP="00DA5393">
      <w:pPr>
        <w:jc w:val="both"/>
        <w:rPr>
          <w:rFonts w:asciiTheme="minorHAnsi" w:hAnsiTheme="minorHAnsi" w:cstheme="minorHAnsi"/>
          <w:sz w:val="20"/>
          <w:szCs w:val="20"/>
        </w:rPr>
      </w:pPr>
    </w:p>
    <w:p w:rsidR="00DA5393" w:rsidRPr="00DA5393" w:rsidRDefault="00DA5393" w:rsidP="00AF412F">
      <w:pPr>
        <w:numPr>
          <w:ilvl w:val="0"/>
          <w:numId w:val="5"/>
        </w:numPr>
        <w:jc w:val="both"/>
        <w:rPr>
          <w:rFonts w:asciiTheme="minorHAnsi" w:hAnsiTheme="minorHAnsi" w:cstheme="minorHAnsi"/>
          <w:sz w:val="20"/>
          <w:szCs w:val="20"/>
        </w:rPr>
      </w:pPr>
      <w:r w:rsidRPr="00DA5393">
        <w:rPr>
          <w:rFonts w:asciiTheme="minorHAnsi" w:hAnsiTheme="minorHAnsi" w:cstheme="minorHAnsi"/>
          <w:sz w:val="20"/>
          <w:szCs w:val="20"/>
        </w:rPr>
        <w:t>Mention du régime juridique de l’intermédiation en biens divers et des articles législatifs qui le régissent (indiquer s’il s’agit d’une intermédiation en biens divers au sens du I de l’article L. 551-1 ou au sens du II de l’article L. 551-1 du code monétaire et financier) ;</w:t>
      </w:r>
    </w:p>
    <w:p w:rsidR="00DA5393" w:rsidRPr="00DA5393" w:rsidRDefault="00DA5393" w:rsidP="00DA5393">
      <w:pPr>
        <w:jc w:val="both"/>
        <w:rPr>
          <w:rFonts w:asciiTheme="minorHAnsi" w:hAnsiTheme="minorHAnsi" w:cstheme="minorHAnsi"/>
          <w:sz w:val="20"/>
          <w:szCs w:val="20"/>
        </w:rPr>
      </w:pPr>
    </w:p>
    <w:p w:rsidR="00DA5393" w:rsidRPr="00DA5393" w:rsidRDefault="00DA5393" w:rsidP="00AF412F">
      <w:pPr>
        <w:numPr>
          <w:ilvl w:val="0"/>
          <w:numId w:val="5"/>
        </w:numPr>
        <w:spacing w:line="360" w:lineRule="auto"/>
        <w:jc w:val="both"/>
        <w:rPr>
          <w:rFonts w:asciiTheme="minorHAnsi" w:hAnsiTheme="minorHAnsi" w:cstheme="minorHAnsi"/>
          <w:sz w:val="20"/>
          <w:szCs w:val="20"/>
        </w:rPr>
      </w:pPr>
      <w:r w:rsidRPr="00DA5393">
        <w:rPr>
          <w:rFonts w:asciiTheme="minorHAnsi" w:hAnsiTheme="minorHAnsi" w:cstheme="minorHAnsi"/>
          <w:sz w:val="20"/>
          <w:szCs w:val="20"/>
        </w:rPr>
        <w:t>Facteurs de risques liés à l’opération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t>Sont détaillés les risques auxquels s’expose l’investisseur en choisissant d’investir dans l’offre proposée, et de façon non limitative, s’ils sont applicables :</w:t>
      </w:r>
    </w:p>
    <w:p w:rsidR="00DA5393" w:rsidRPr="00DA5393" w:rsidRDefault="00DA5393" w:rsidP="00AF412F">
      <w:pPr>
        <w:numPr>
          <w:ilvl w:val="0"/>
          <w:numId w:val="6"/>
        </w:numPr>
        <w:jc w:val="both"/>
        <w:rPr>
          <w:rFonts w:asciiTheme="minorHAnsi" w:hAnsiTheme="minorHAnsi" w:cstheme="minorHAnsi"/>
          <w:sz w:val="20"/>
          <w:szCs w:val="20"/>
        </w:rPr>
      </w:pPr>
      <w:proofErr w:type="gramStart"/>
      <w:r w:rsidRPr="00DA5393">
        <w:rPr>
          <w:rFonts w:asciiTheme="minorHAnsi" w:hAnsiTheme="minorHAnsi" w:cstheme="minorHAnsi"/>
          <w:sz w:val="20"/>
          <w:szCs w:val="20"/>
        </w:rPr>
        <w:t>le</w:t>
      </w:r>
      <w:proofErr w:type="gramEnd"/>
      <w:r w:rsidRPr="00DA5393">
        <w:rPr>
          <w:rFonts w:asciiTheme="minorHAnsi" w:hAnsiTheme="minorHAnsi" w:cstheme="minorHAnsi"/>
          <w:sz w:val="20"/>
          <w:szCs w:val="20"/>
        </w:rPr>
        <w:t xml:space="preserve"> risque de perte en capital ;</w:t>
      </w:r>
    </w:p>
    <w:p w:rsidR="00DA5393" w:rsidRPr="00DA5393" w:rsidRDefault="00DA5393" w:rsidP="00AF412F">
      <w:pPr>
        <w:numPr>
          <w:ilvl w:val="0"/>
          <w:numId w:val="6"/>
        </w:numPr>
        <w:jc w:val="both"/>
        <w:rPr>
          <w:rFonts w:asciiTheme="minorHAnsi" w:hAnsiTheme="minorHAnsi" w:cstheme="minorHAnsi"/>
          <w:sz w:val="20"/>
          <w:szCs w:val="20"/>
        </w:rPr>
      </w:pPr>
      <w:proofErr w:type="gramStart"/>
      <w:r w:rsidRPr="00DA5393">
        <w:rPr>
          <w:rFonts w:asciiTheme="minorHAnsi" w:hAnsiTheme="minorHAnsi" w:cstheme="minorHAnsi"/>
          <w:sz w:val="20"/>
          <w:szCs w:val="20"/>
        </w:rPr>
        <w:t>le</w:t>
      </w:r>
      <w:proofErr w:type="gramEnd"/>
      <w:r w:rsidRPr="00DA5393">
        <w:rPr>
          <w:rFonts w:asciiTheme="minorHAnsi" w:hAnsiTheme="minorHAnsi" w:cstheme="minorHAnsi"/>
          <w:sz w:val="20"/>
          <w:szCs w:val="20"/>
        </w:rPr>
        <w:t xml:space="preserve"> risque d’absence de liquidité le cas échéant ;</w:t>
      </w:r>
    </w:p>
    <w:p w:rsidR="00DA5393" w:rsidRPr="00DA5393" w:rsidRDefault="00DA5393" w:rsidP="00AF412F">
      <w:pPr>
        <w:numPr>
          <w:ilvl w:val="0"/>
          <w:numId w:val="6"/>
        </w:numPr>
        <w:jc w:val="both"/>
        <w:rPr>
          <w:rFonts w:asciiTheme="minorHAnsi" w:hAnsiTheme="minorHAnsi" w:cstheme="minorHAnsi"/>
          <w:sz w:val="20"/>
          <w:szCs w:val="20"/>
        </w:rPr>
      </w:pPr>
      <w:proofErr w:type="gramStart"/>
      <w:r w:rsidRPr="00DA5393">
        <w:rPr>
          <w:rFonts w:asciiTheme="minorHAnsi" w:hAnsiTheme="minorHAnsi" w:cstheme="minorHAnsi"/>
          <w:sz w:val="20"/>
          <w:szCs w:val="20"/>
        </w:rPr>
        <w:t>le</w:t>
      </w:r>
      <w:proofErr w:type="gramEnd"/>
      <w:r w:rsidRPr="00DA5393">
        <w:rPr>
          <w:rFonts w:asciiTheme="minorHAnsi" w:hAnsiTheme="minorHAnsi" w:cstheme="minorHAnsi"/>
          <w:sz w:val="20"/>
          <w:szCs w:val="20"/>
        </w:rPr>
        <w:t xml:space="preserve"> risque lié aux marché(s) sous-jacent(s) ;</w:t>
      </w:r>
    </w:p>
    <w:p w:rsidR="00DA5393" w:rsidRPr="00DA5393" w:rsidRDefault="00DA5393" w:rsidP="00AF412F">
      <w:pPr>
        <w:numPr>
          <w:ilvl w:val="0"/>
          <w:numId w:val="6"/>
        </w:numPr>
        <w:jc w:val="both"/>
        <w:rPr>
          <w:rFonts w:asciiTheme="minorHAnsi" w:hAnsiTheme="minorHAnsi" w:cstheme="minorHAnsi"/>
          <w:sz w:val="20"/>
          <w:szCs w:val="20"/>
        </w:rPr>
      </w:pPr>
      <w:proofErr w:type="gramStart"/>
      <w:r w:rsidRPr="00DA5393">
        <w:rPr>
          <w:rFonts w:asciiTheme="minorHAnsi" w:hAnsiTheme="minorHAnsi" w:cstheme="minorHAnsi"/>
          <w:sz w:val="20"/>
          <w:szCs w:val="20"/>
        </w:rPr>
        <w:t>le</w:t>
      </w:r>
      <w:proofErr w:type="gramEnd"/>
      <w:r w:rsidRPr="00DA5393">
        <w:rPr>
          <w:rFonts w:asciiTheme="minorHAnsi" w:hAnsiTheme="minorHAnsi" w:cstheme="minorHAnsi"/>
          <w:sz w:val="20"/>
          <w:szCs w:val="20"/>
        </w:rPr>
        <w:t xml:space="preserve"> risque fiscal le cas échéant ;</w:t>
      </w:r>
    </w:p>
    <w:p w:rsidR="00DA5393" w:rsidRPr="00DA5393" w:rsidRDefault="00DA5393" w:rsidP="00AF412F">
      <w:pPr>
        <w:numPr>
          <w:ilvl w:val="0"/>
          <w:numId w:val="6"/>
        </w:numPr>
        <w:jc w:val="both"/>
        <w:rPr>
          <w:rFonts w:asciiTheme="minorHAnsi" w:hAnsiTheme="minorHAnsi" w:cstheme="minorHAnsi"/>
          <w:sz w:val="20"/>
          <w:szCs w:val="20"/>
        </w:rPr>
      </w:pPr>
      <w:proofErr w:type="gramStart"/>
      <w:r w:rsidRPr="00DA5393">
        <w:rPr>
          <w:rFonts w:asciiTheme="minorHAnsi" w:hAnsiTheme="minorHAnsi" w:cstheme="minorHAnsi"/>
          <w:sz w:val="20"/>
          <w:szCs w:val="20"/>
        </w:rPr>
        <w:t>les</w:t>
      </w:r>
      <w:proofErr w:type="gramEnd"/>
      <w:r w:rsidRPr="00DA5393">
        <w:rPr>
          <w:rFonts w:asciiTheme="minorHAnsi" w:hAnsiTheme="minorHAnsi" w:cstheme="minorHAnsi"/>
          <w:sz w:val="20"/>
          <w:szCs w:val="20"/>
        </w:rPr>
        <w:t xml:space="preserve"> risques spécifiques aux biens (transport, conservation, casse, vol…) en fonction de leur nature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lastRenderedPageBreak/>
        <w:t>Chaque risque est accompagné d’une explication textuelle synthétique.</w:t>
      </w:r>
    </w:p>
    <w:p w:rsidR="00DA5393" w:rsidRPr="00DA5393" w:rsidRDefault="00DA5393" w:rsidP="00DA5393">
      <w:pPr>
        <w:jc w:val="both"/>
        <w:rPr>
          <w:rFonts w:asciiTheme="minorHAnsi" w:hAnsiTheme="minorHAnsi" w:cstheme="minorHAnsi"/>
          <w:sz w:val="20"/>
          <w:szCs w:val="20"/>
        </w:rPr>
      </w:pPr>
    </w:p>
    <w:p w:rsidR="00DA5393" w:rsidRPr="00DA5393" w:rsidRDefault="00DA5393" w:rsidP="00AF412F">
      <w:pPr>
        <w:numPr>
          <w:ilvl w:val="0"/>
          <w:numId w:val="5"/>
        </w:numPr>
        <w:spacing w:line="360" w:lineRule="auto"/>
        <w:jc w:val="both"/>
        <w:rPr>
          <w:rFonts w:asciiTheme="minorHAnsi" w:hAnsiTheme="minorHAnsi" w:cstheme="minorHAnsi"/>
          <w:sz w:val="20"/>
          <w:szCs w:val="20"/>
        </w:rPr>
      </w:pPr>
      <w:r w:rsidRPr="00DA5393">
        <w:rPr>
          <w:rFonts w:asciiTheme="minorHAnsi" w:hAnsiTheme="minorHAnsi" w:cstheme="minorHAnsi"/>
          <w:sz w:val="20"/>
          <w:szCs w:val="20"/>
        </w:rPr>
        <w:t>Profil type de l’investisseur concerné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t xml:space="preserve">L’objectif de cette rubrique est de préciser quels souscripteurs ont accès à l’offre et à quel type d’investisseurs elle s’adresse.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t xml:space="preserve">Elle doit donc préciser quel est le profil type de l’investisseur – en termes de caractéristiques, d’objectifs et de besoins – pour lequel l’offre a été créée, ainsi que la durée de placement recommandée le cas échéant.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t xml:space="preserve">S’agissant du profil type de l’investisseur, sa description est complétée, lorsque cela </w:t>
      </w:r>
      <w:r>
        <w:rPr>
          <w:rFonts w:asciiTheme="minorHAnsi" w:hAnsiTheme="minorHAnsi" w:cstheme="minorHAnsi"/>
          <w:sz w:val="20"/>
          <w:szCs w:val="20"/>
        </w:rPr>
        <w:t xml:space="preserve">est pertinent, par </w:t>
      </w:r>
      <w:proofErr w:type="gramStart"/>
      <w:r>
        <w:rPr>
          <w:rFonts w:asciiTheme="minorHAnsi" w:hAnsiTheme="minorHAnsi" w:cstheme="minorHAnsi"/>
          <w:sz w:val="20"/>
          <w:szCs w:val="20"/>
        </w:rPr>
        <w:t xml:space="preserve">des éléments </w:t>
      </w:r>
      <w:r w:rsidRPr="00DA5393">
        <w:rPr>
          <w:rFonts w:asciiTheme="minorHAnsi" w:hAnsiTheme="minorHAnsi" w:cstheme="minorHAnsi"/>
          <w:sz w:val="20"/>
          <w:szCs w:val="20"/>
        </w:rPr>
        <w:t>sur</w:t>
      </w:r>
      <w:proofErr w:type="gramEnd"/>
      <w:r w:rsidRPr="00DA5393">
        <w:rPr>
          <w:rFonts w:asciiTheme="minorHAnsi" w:hAnsiTheme="minorHAnsi" w:cstheme="minorHAnsi"/>
          <w:sz w:val="20"/>
          <w:szCs w:val="20"/>
        </w:rPr>
        <w:t xml:space="preserve"> :</w:t>
      </w:r>
    </w:p>
    <w:p w:rsidR="00DA5393" w:rsidRPr="00DA5393" w:rsidRDefault="00DA5393" w:rsidP="00AF412F">
      <w:pPr>
        <w:numPr>
          <w:ilvl w:val="0"/>
          <w:numId w:val="6"/>
        </w:numPr>
        <w:jc w:val="both"/>
        <w:rPr>
          <w:rFonts w:asciiTheme="minorHAnsi" w:hAnsiTheme="minorHAnsi" w:cstheme="minorHAnsi"/>
          <w:sz w:val="20"/>
          <w:szCs w:val="20"/>
        </w:rPr>
      </w:pPr>
      <w:r w:rsidRPr="00DA5393">
        <w:rPr>
          <w:rFonts w:asciiTheme="minorHAnsi" w:hAnsiTheme="minorHAnsi" w:cstheme="minorHAnsi"/>
          <w:sz w:val="20"/>
          <w:szCs w:val="20"/>
        </w:rPr>
        <w:t>L’aversion au risque ou la recherche de l’exposition à un risque des souscripteurs visés ;</w:t>
      </w:r>
    </w:p>
    <w:p w:rsidR="00DA5393" w:rsidRPr="00DA5393" w:rsidRDefault="00DA5393" w:rsidP="00AF412F">
      <w:pPr>
        <w:numPr>
          <w:ilvl w:val="0"/>
          <w:numId w:val="6"/>
        </w:numPr>
        <w:jc w:val="both"/>
        <w:rPr>
          <w:rFonts w:asciiTheme="minorHAnsi" w:hAnsiTheme="minorHAnsi" w:cstheme="minorHAnsi"/>
          <w:sz w:val="20"/>
          <w:szCs w:val="20"/>
        </w:rPr>
      </w:pPr>
      <w:r w:rsidRPr="00DA5393">
        <w:rPr>
          <w:rFonts w:asciiTheme="minorHAnsi" w:hAnsiTheme="minorHAnsi" w:cstheme="minorHAnsi"/>
          <w:sz w:val="20"/>
          <w:szCs w:val="20"/>
        </w:rPr>
        <w:t>La proportion du portefeuille financier ou du patrimoine des clients qu’il est raisonnable d’investir dans cette offre ;</w:t>
      </w:r>
    </w:p>
    <w:p w:rsidR="00DA5393" w:rsidRPr="00DA5393" w:rsidRDefault="00DA5393" w:rsidP="00AF412F">
      <w:pPr>
        <w:numPr>
          <w:ilvl w:val="0"/>
          <w:numId w:val="6"/>
        </w:numPr>
        <w:jc w:val="both"/>
        <w:rPr>
          <w:rFonts w:asciiTheme="minorHAnsi" w:hAnsiTheme="minorHAnsi" w:cstheme="minorHAnsi"/>
          <w:sz w:val="20"/>
          <w:szCs w:val="20"/>
        </w:rPr>
      </w:pPr>
      <w:r w:rsidRPr="00DA5393">
        <w:rPr>
          <w:rFonts w:asciiTheme="minorHAnsi" w:hAnsiTheme="minorHAnsi" w:cstheme="minorHAnsi"/>
          <w:sz w:val="20"/>
          <w:szCs w:val="20"/>
        </w:rPr>
        <w:t xml:space="preserve">Ainsi qu’un avertissement sur la nécessité de diversification des placements. </w:t>
      </w:r>
    </w:p>
    <w:p w:rsidR="00DA5393" w:rsidRPr="00DA5393" w:rsidRDefault="00DA5393" w:rsidP="00DA5393">
      <w:pPr>
        <w:jc w:val="both"/>
        <w:rPr>
          <w:rFonts w:asciiTheme="minorHAnsi" w:hAnsiTheme="minorHAnsi" w:cstheme="minorHAnsi"/>
          <w:sz w:val="20"/>
          <w:szCs w:val="20"/>
        </w:rPr>
      </w:pPr>
      <w:r w:rsidRPr="00DA5393">
        <w:rPr>
          <w:rFonts w:asciiTheme="minorHAnsi" w:hAnsiTheme="minorHAnsi" w:cstheme="minorHAnsi"/>
          <w:sz w:val="20"/>
          <w:szCs w:val="20"/>
        </w:rPr>
        <w:t xml:space="preserve">S’agissant de la durée de placement recommandée, celle-ci doit être cohérente avec la nature des biens et l’objectif de gestion le cas </w:t>
      </w:r>
      <w:r w:rsidR="00524309" w:rsidRPr="00DA5393">
        <w:rPr>
          <w:rFonts w:asciiTheme="minorHAnsi" w:hAnsiTheme="minorHAnsi" w:cstheme="minorHAnsi"/>
          <w:sz w:val="20"/>
          <w:szCs w:val="20"/>
        </w:rPr>
        <w:t>échéant</w:t>
      </w:r>
      <w:r w:rsidRPr="00DA5393">
        <w:rPr>
          <w:rFonts w:asciiTheme="minorHAnsi" w:hAnsiTheme="minorHAnsi" w:cstheme="minorHAnsi"/>
          <w:sz w:val="20"/>
          <w:szCs w:val="20"/>
        </w:rPr>
        <w:t xml:space="preserve">. Elle doit être cohérente avec une prise de risque minimale en capital, en fonction de l’évolution long terme des marchés et non pas d’une situation de marché ponctuelle ou atypique. </w:t>
      </w:r>
    </w:p>
    <w:p w:rsidR="00DA5393" w:rsidRPr="00DA5393" w:rsidRDefault="00DA5393" w:rsidP="00DA5393">
      <w:pPr>
        <w:jc w:val="both"/>
        <w:rPr>
          <w:rFonts w:asciiTheme="minorHAnsi" w:hAnsiTheme="minorHAnsi" w:cstheme="minorHAnsi"/>
          <w:sz w:val="20"/>
          <w:szCs w:val="20"/>
        </w:rPr>
      </w:pPr>
    </w:p>
    <w:p w:rsidR="00DA5393" w:rsidRDefault="00DA5393" w:rsidP="00AF412F">
      <w:pPr>
        <w:numPr>
          <w:ilvl w:val="0"/>
          <w:numId w:val="5"/>
        </w:numPr>
        <w:jc w:val="both"/>
        <w:rPr>
          <w:rFonts w:asciiTheme="minorHAnsi" w:hAnsiTheme="minorHAnsi" w:cstheme="minorHAnsi"/>
          <w:sz w:val="20"/>
          <w:szCs w:val="20"/>
        </w:rPr>
      </w:pPr>
      <w:r w:rsidRPr="00DA5393">
        <w:rPr>
          <w:rFonts w:asciiTheme="minorHAnsi" w:hAnsiTheme="minorHAnsi" w:cstheme="minorHAnsi"/>
          <w:sz w:val="20"/>
          <w:szCs w:val="20"/>
        </w:rPr>
        <w:t>Durée du placement</w:t>
      </w:r>
      <w:r w:rsidR="00F53773">
        <w:rPr>
          <w:rFonts w:asciiTheme="minorHAnsi" w:hAnsiTheme="minorHAnsi" w:cstheme="minorHAnsi"/>
          <w:sz w:val="20"/>
          <w:szCs w:val="20"/>
        </w:rPr>
        <w:t>.</w:t>
      </w:r>
    </w:p>
    <w:p w:rsidR="00F53773" w:rsidRPr="00DA5393" w:rsidRDefault="00F53773" w:rsidP="00F53773">
      <w:pPr>
        <w:jc w:val="both"/>
        <w:rPr>
          <w:rFonts w:asciiTheme="minorHAnsi" w:hAnsiTheme="minorHAnsi" w:cstheme="minorHAnsi"/>
          <w:sz w:val="20"/>
          <w:szCs w:val="20"/>
        </w:rPr>
      </w:pPr>
    </w:p>
    <w:p w:rsidR="00DA5393" w:rsidRPr="00A27088" w:rsidRDefault="00DA5393" w:rsidP="00A27088">
      <w:pPr>
        <w:jc w:val="both"/>
        <w:rPr>
          <w:rFonts w:asciiTheme="minorHAnsi" w:hAnsiTheme="minorHAnsi" w:cstheme="minorHAnsi"/>
          <w:sz w:val="20"/>
          <w:szCs w:val="20"/>
        </w:rPr>
      </w:pPr>
    </w:p>
    <w:p w:rsidR="00F53773" w:rsidRPr="00F53773" w:rsidRDefault="00F53773" w:rsidP="00F53773">
      <w:pPr>
        <w:jc w:val="both"/>
        <w:rPr>
          <w:rFonts w:asciiTheme="minorHAnsi" w:hAnsiTheme="minorHAnsi" w:cstheme="minorHAnsi"/>
          <w:b/>
          <w:bCs/>
          <w:sz w:val="20"/>
          <w:szCs w:val="20"/>
        </w:rPr>
      </w:pPr>
      <w:r w:rsidRPr="00F53773">
        <w:rPr>
          <w:rFonts w:asciiTheme="minorHAnsi" w:hAnsiTheme="minorHAnsi" w:cstheme="minorHAnsi"/>
          <w:b/>
          <w:bCs/>
          <w:sz w:val="20"/>
          <w:szCs w:val="20"/>
        </w:rPr>
        <w:t>II. Caractéristiques économiques et financières de l’opération</w:t>
      </w:r>
    </w:p>
    <w:p w:rsidR="00F53773" w:rsidRPr="00F53773" w:rsidRDefault="00F53773" w:rsidP="00F53773">
      <w:pPr>
        <w:jc w:val="both"/>
        <w:rPr>
          <w:rFonts w:asciiTheme="minorHAnsi" w:hAnsiTheme="minorHAnsi" w:cstheme="minorHAnsi"/>
          <w:sz w:val="20"/>
          <w:szCs w:val="20"/>
        </w:rPr>
      </w:pPr>
    </w:p>
    <w:p w:rsidR="00F53773" w:rsidRPr="00F53773" w:rsidRDefault="00F53773" w:rsidP="00AF412F">
      <w:pPr>
        <w:numPr>
          <w:ilvl w:val="0"/>
          <w:numId w:val="8"/>
        </w:numPr>
        <w:jc w:val="both"/>
        <w:rPr>
          <w:rFonts w:asciiTheme="minorHAnsi" w:hAnsiTheme="minorHAnsi" w:cstheme="minorHAnsi"/>
          <w:sz w:val="20"/>
          <w:szCs w:val="20"/>
        </w:rPr>
      </w:pPr>
      <w:r w:rsidRPr="00F53773">
        <w:rPr>
          <w:rFonts w:asciiTheme="minorHAnsi" w:hAnsiTheme="minorHAnsi" w:cstheme="minorHAnsi"/>
          <w:sz w:val="20"/>
          <w:szCs w:val="20"/>
        </w:rPr>
        <w:t>Caractéristiques économiques générales du secteur concerné ;</w:t>
      </w:r>
    </w:p>
    <w:p w:rsidR="00F53773" w:rsidRPr="00F53773" w:rsidRDefault="00F53773" w:rsidP="00F53773">
      <w:pPr>
        <w:jc w:val="both"/>
        <w:rPr>
          <w:rFonts w:asciiTheme="minorHAnsi" w:hAnsiTheme="minorHAnsi" w:cstheme="minorHAnsi"/>
          <w:sz w:val="20"/>
          <w:szCs w:val="20"/>
        </w:rPr>
      </w:pPr>
    </w:p>
    <w:p w:rsidR="00F53773" w:rsidRPr="00F53773" w:rsidRDefault="00F53773" w:rsidP="00AF412F">
      <w:pPr>
        <w:numPr>
          <w:ilvl w:val="0"/>
          <w:numId w:val="8"/>
        </w:numPr>
        <w:jc w:val="both"/>
        <w:rPr>
          <w:rFonts w:asciiTheme="minorHAnsi" w:hAnsiTheme="minorHAnsi" w:cstheme="minorHAnsi"/>
          <w:sz w:val="20"/>
          <w:szCs w:val="20"/>
        </w:rPr>
      </w:pPr>
      <w:r w:rsidRPr="00F53773">
        <w:rPr>
          <w:rFonts w:asciiTheme="minorHAnsi" w:hAnsiTheme="minorHAnsi" w:cstheme="minorHAnsi"/>
          <w:sz w:val="20"/>
          <w:szCs w:val="20"/>
        </w:rPr>
        <w:t>Caractéristiques financières du placement :</w:t>
      </w:r>
    </w:p>
    <w:p w:rsidR="00F53773" w:rsidRPr="00F53773" w:rsidRDefault="00F53773" w:rsidP="00AF412F">
      <w:pPr>
        <w:numPr>
          <w:ilvl w:val="0"/>
          <w:numId w:val="7"/>
        </w:numPr>
        <w:jc w:val="both"/>
        <w:rPr>
          <w:rFonts w:asciiTheme="minorHAnsi" w:hAnsiTheme="minorHAnsi" w:cstheme="minorHAnsi"/>
          <w:sz w:val="20"/>
          <w:szCs w:val="20"/>
        </w:rPr>
      </w:pPr>
      <w:r w:rsidRPr="00F53773">
        <w:rPr>
          <w:rFonts w:asciiTheme="minorHAnsi" w:hAnsiTheme="minorHAnsi" w:cstheme="minorHAnsi"/>
          <w:sz w:val="20"/>
          <w:szCs w:val="20"/>
        </w:rPr>
        <w:t>Modalités de souscription et types de contrats intervenants dans l’opération (par exemple conclusion d’un mandat de gestion, souscription à une indivision, acquisition de droits…), ainsi que droit de ces contrats. En cas de conclusion de contrats de droit étranger, l’attention de l’investisseur est explicitement attirée sur la nationalité des tribunaux compétents ;</w:t>
      </w:r>
    </w:p>
    <w:p w:rsidR="00F53773" w:rsidRPr="00F53773" w:rsidRDefault="00F53773" w:rsidP="00AF412F">
      <w:pPr>
        <w:numPr>
          <w:ilvl w:val="0"/>
          <w:numId w:val="7"/>
        </w:numPr>
        <w:jc w:val="both"/>
        <w:rPr>
          <w:rFonts w:asciiTheme="minorHAnsi" w:hAnsiTheme="minorHAnsi" w:cstheme="minorHAnsi"/>
          <w:sz w:val="20"/>
          <w:szCs w:val="20"/>
        </w:rPr>
      </w:pPr>
      <w:r w:rsidRPr="00F53773">
        <w:rPr>
          <w:rFonts w:asciiTheme="minorHAnsi" w:hAnsiTheme="minorHAnsi" w:cstheme="minorHAnsi"/>
          <w:sz w:val="20"/>
          <w:szCs w:val="20"/>
        </w:rPr>
        <w:t xml:space="preserve">Univers d’investissement, à savoir le type de biens concernés ; </w:t>
      </w:r>
    </w:p>
    <w:p w:rsidR="00F53773" w:rsidRPr="00F53773" w:rsidRDefault="00F53773" w:rsidP="00F53773">
      <w:pPr>
        <w:jc w:val="both"/>
        <w:rPr>
          <w:rFonts w:asciiTheme="minorHAnsi" w:hAnsiTheme="minorHAnsi" w:cstheme="minorHAnsi"/>
          <w:sz w:val="20"/>
          <w:szCs w:val="20"/>
        </w:rPr>
      </w:pPr>
      <w:r w:rsidRPr="00F53773">
        <w:rPr>
          <w:rFonts w:asciiTheme="minorHAnsi" w:hAnsiTheme="minorHAnsi" w:cstheme="minorHAnsi"/>
          <w:sz w:val="20"/>
          <w:szCs w:val="20"/>
        </w:rPr>
        <w:t>Par exemple, s’il s’agit de forêts, il convient d’expliciter leur localisation géographique, la nature des essences, leur surface, leurs modes de gestion…</w:t>
      </w:r>
    </w:p>
    <w:p w:rsidR="00F53773" w:rsidRPr="00F53773" w:rsidRDefault="00F53773" w:rsidP="00F53773">
      <w:pPr>
        <w:jc w:val="both"/>
        <w:rPr>
          <w:rFonts w:asciiTheme="minorHAnsi" w:hAnsiTheme="minorHAnsi" w:cstheme="minorHAnsi"/>
          <w:sz w:val="20"/>
          <w:szCs w:val="20"/>
        </w:rPr>
      </w:pPr>
      <w:r w:rsidRPr="00F53773">
        <w:rPr>
          <w:rFonts w:asciiTheme="minorHAnsi" w:hAnsiTheme="minorHAnsi" w:cstheme="minorHAnsi"/>
          <w:sz w:val="20"/>
          <w:szCs w:val="20"/>
        </w:rPr>
        <w:t>S’il s’agit de bouteilles de vin, c’est le type de cru, le millésime… qu’il convient de détailler.</w:t>
      </w:r>
    </w:p>
    <w:p w:rsidR="00F53773" w:rsidRPr="00F53773" w:rsidRDefault="00F53773" w:rsidP="00AF412F">
      <w:pPr>
        <w:numPr>
          <w:ilvl w:val="0"/>
          <w:numId w:val="7"/>
        </w:numPr>
        <w:jc w:val="both"/>
        <w:rPr>
          <w:rFonts w:asciiTheme="minorHAnsi" w:hAnsiTheme="minorHAnsi" w:cstheme="minorHAnsi"/>
          <w:sz w:val="20"/>
          <w:szCs w:val="20"/>
        </w:rPr>
      </w:pPr>
      <w:r w:rsidRPr="00F53773">
        <w:rPr>
          <w:rFonts w:asciiTheme="minorHAnsi" w:hAnsiTheme="minorHAnsi" w:cstheme="minorHAnsi"/>
          <w:sz w:val="20"/>
          <w:szCs w:val="20"/>
        </w:rPr>
        <w:t>Stratégies de gestion développées, afin de déterminer, par exemple, s’il s’agit de l’acquisition de droits et de la conservation de ces droits jusqu’au terme du contrat ou d’une gestion dynamique des biens.</w:t>
      </w:r>
    </w:p>
    <w:p w:rsidR="00F53773" w:rsidRPr="00F53773" w:rsidRDefault="00F53773" w:rsidP="00AF412F">
      <w:pPr>
        <w:numPr>
          <w:ilvl w:val="0"/>
          <w:numId w:val="7"/>
        </w:numPr>
        <w:jc w:val="both"/>
        <w:rPr>
          <w:rFonts w:asciiTheme="minorHAnsi" w:hAnsiTheme="minorHAnsi" w:cstheme="minorHAnsi"/>
          <w:sz w:val="20"/>
          <w:szCs w:val="20"/>
        </w:rPr>
      </w:pPr>
      <w:r w:rsidRPr="00F53773">
        <w:rPr>
          <w:rFonts w:asciiTheme="minorHAnsi" w:hAnsiTheme="minorHAnsi" w:cstheme="minorHAnsi"/>
          <w:sz w:val="20"/>
          <w:szCs w:val="20"/>
        </w:rPr>
        <w:t>Modalités de gestion technique dans le cas où l’acquéreur ne l’assure pas lui-même ;</w:t>
      </w:r>
    </w:p>
    <w:p w:rsidR="00F53773" w:rsidRPr="00F53773" w:rsidRDefault="00F53773" w:rsidP="00F53773">
      <w:pPr>
        <w:jc w:val="both"/>
        <w:rPr>
          <w:rFonts w:asciiTheme="minorHAnsi" w:hAnsiTheme="minorHAnsi" w:cstheme="minorHAnsi"/>
          <w:sz w:val="20"/>
          <w:szCs w:val="20"/>
        </w:rPr>
      </w:pPr>
    </w:p>
    <w:p w:rsidR="00F53773" w:rsidRPr="00F53773" w:rsidRDefault="00F53773" w:rsidP="00AF412F">
      <w:pPr>
        <w:numPr>
          <w:ilvl w:val="0"/>
          <w:numId w:val="8"/>
        </w:numPr>
        <w:jc w:val="both"/>
        <w:rPr>
          <w:rFonts w:asciiTheme="minorHAnsi" w:hAnsiTheme="minorHAnsi" w:cstheme="minorHAnsi"/>
          <w:sz w:val="20"/>
          <w:szCs w:val="20"/>
        </w:rPr>
      </w:pPr>
      <w:r w:rsidRPr="00F53773">
        <w:rPr>
          <w:rFonts w:asciiTheme="minorHAnsi" w:hAnsiTheme="minorHAnsi" w:cstheme="minorHAnsi"/>
          <w:sz w:val="20"/>
          <w:szCs w:val="20"/>
        </w:rPr>
        <w:t>Evaluation des rentes viagères, des biens ou des droits sur les biens</w:t>
      </w:r>
    </w:p>
    <w:p w:rsidR="00F53773" w:rsidRPr="00F53773" w:rsidRDefault="00F53773" w:rsidP="00F53773">
      <w:pPr>
        <w:jc w:val="both"/>
        <w:rPr>
          <w:rFonts w:asciiTheme="minorHAnsi" w:hAnsiTheme="minorHAnsi" w:cstheme="minorHAnsi"/>
          <w:sz w:val="20"/>
          <w:szCs w:val="20"/>
        </w:rPr>
      </w:pPr>
      <w:r w:rsidRPr="00F53773">
        <w:rPr>
          <w:rFonts w:asciiTheme="minorHAnsi" w:hAnsiTheme="minorHAnsi" w:cstheme="minorHAnsi"/>
          <w:sz w:val="20"/>
          <w:szCs w:val="20"/>
        </w:rPr>
        <w:t>Est présentée ici la procédure de valorisation (organisation, personnes intervenant dans la procédure), la méthode retenue pour chaque type de biens ainsi que la fréquence de valorisation.</w:t>
      </w:r>
    </w:p>
    <w:p w:rsidR="00F53773" w:rsidRPr="00F53773" w:rsidRDefault="00F53773" w:rsidP="00F53773">
      <w:pPr>
        <w:jc w:val="both"/>
        <w:rPr>
          <w:rFonts w:asciiTheme="minorHAnsi" w:hAnsiTheme="minorHAnsi" w:cstheme="minorHAnsi"/>
          <w:sz w:val="20"/>
          <w:szCs w:val="20"/>
        </w:rPr>
      </w:pPr>
    </w:p>
    <w:p w:rsidR="00F53773" w:rsidRDefault="00F53773" w:rsidP="00AF412F">
      <w:pPr>
        <w:numPr>
          <w:ilvl w:val="0"/>
          <w:numId w:val="8"/>
        </w:numPr>
        <w:jc w:val="both"/>
        <w:rPr>
          <w:rFonts w:asciiTheme="minorHAnsi" w:hAnsiTheme="minorHAnsi" w:cstheme="minorHAnsi"/>
          <w:sz w:val="20"/>
          <w:szCs w:val="20"/>
        </w:rPr>
      </w:pPr>
      <w:r w:rsidRPr="00F53773">
        <w:rPr>
          <w:rFonts w:asciiTheme="minorHAnsi" w:hAnsiTheme="minorHAnsi" w:cstheme="minorHAnsi"/>
          <w:sz w:val="20"/>
          <w:szCs w:val="20"/>
        </w:rPr>
        <w:t>Modalités de distribution des revenus, le cas échéant</w:t>
      </w:r>
      <w:r w:rsidR="009F5CB0">
        <w:rPr>
          <w:rFonts w:asciiTheme="minorHAnsi" w:hAnsiTheme="minorHAnsi" w:cstheme="minorHAnsi"/>
          <w:sz w:val="20"/>
          <w:szCs w:val="20"/>
        </w:rPr>
        <w:t>.</w:t>
      </w:r>
    </w:p>
    <w:p w:rsidR="009F5CB0" w:rsidRPr="00F53773" w:rsidRDefault="009F5CB0" w:rsidP="009F5CB0">
      <w:pPr>
        <w:jc w:val="both"/>
        <w:rPr>
          <w:rFonts w:asciiTheme="minorHAnsi" w:hAnsiTheme="minorHAnsi" w:cstheme="minorHAnsi"/>
          <w:sz w:val="20"/>
          <w:szCs w:val="20"/>
        </w:rPr>
      </w:pPr>
    </w:p>
    <w:p w:rsidR="00922AD8" w:rsidRDefault="00922AD8" w:rsidP="00A27088">
      <w:pPr>
        <w:jc w:val="both"/>
        <w:rPr>
          <w:rFonts w:asciiTheme="minorHAnsi" w:hAnsiTheme="minorHAnsi" w:cstheme="minorHAnsi"/>
          <w:sz w:val="20"/>
          <w:szCs w:val="20"/>
        </w:rPr>
      </w:pPr>
    </w:p>
    <w:p w:rsidR="009F5CB0" w:rsidRPr="009F5CB0" w:rsidRDefault="009F5CB0" w:rsidP="009F5CB0">
      <w:pPr>
        <w:jc w:val="both"/>
        <w:rPr>
          <w:rFonts w:asciiTheme="minorHAnsi" w:hAnsiTheme="minorHAnsi" w:cstheme="minorHAnsi"/>
          <w:b/>
          <w:bCs/>
          <w:sz w:val="20"/>
          <w:szCs w:val="20"/>
        </w:rPr>
      </w:pPr>
      <w:r w:rsidRPr="009F5CB0">
        <w:rPr>
          <w:rFonts w:asciiTheme="minorHAnsi" w:hAnsiTheme="minorHAnsi" w:cstheme="minorHAnsi"/>
          <w:b/>
          <w:bCs/>
          <w:sz w:val="20"/>
          <w:szCs w:val="20"/>
        </w:rPr>
        <w:t>III. Frais</w:t>
      </w:r>
    </w:p>
    <w:p w:rsidR="009F5CB0" w:rsidRPr="009F5CB0" w:rsidRDefault="009F5CB0" w:rsidP="009F5CB0">
      <w:pPr>
        <w:jc w:val="both"/>
        <w:rPr>
          <w:rFonts w:asciiTheme="minorHAnsi" w:hAnsiTheme="minorHAnsi" w:cstheme="minorHAnsi"/>
          <w:b/>
          <w:bCs/>
          <w:sz w:val="20"/>
          <w:szCs w:val="20"/>
        </w:rPr>
      </w:pPr>
    </w:p>
    <w:p w:rsidR="009F5CB0" w:rsidRPr="009F5CB0" w:rsidRDefault="009F5CB0" w:rsidP="009F5CB0">
      <w:pPr>
        <w:jc w:val="both"/>
        <w:rPr>
          <w:rFonts w:asciiTheme="minorHAnsi" w:hAnsiTheme="minorHAnsi" w:cstheme="minorHAnsi"/>
          <w:sz w:val="20"/>
          <w:szCs w:val="20"/>
        </w:rPr>
      </w:pPr>
      <w:r w:rsidRPr="009F5CB0">
        <w:rPr>
          <w:rFonts w:asciiTheme="minorHAnsi" w:hAnsiTheme="minorHAnsi" w:cstheme="minorHAnsi"/>
          <w:sz w:val="20"/>
          <w:szCs w:val="20"/>
        </w:rPr>
        <w:t xml:space="preserve">Il s’agit de donner une information détaillée permettant à l’investisseur de comprendre tous les frais qu’il supportera, directement ou indirectement (lors de la souscription et ultérieurement jusqu’à la cession du placement) : type de frais / fréquence de facturation/ assiette et % et/ou montant forfaitaire… </w:t>
      </w:r>
    </w:p>
    <w:p w:rsidR="009F5CB0" w:rsidRPr="009F5CB0" w:rsidRDefault="009F5CB0" w:rsidP="009F5CB0">
      <w:pPr>
        <w:jc w:val="both"/>
        <w:rPr>
          <w:rFonts w:asciiTheme="minorHAnsi" w:hAnsiTheme="minorHAnsi" w:cstheme="minorHAnsi"/>
          <w:sz w:val="20"/>
          <w:szCs w:val="20"/>
        </w:rPr>
      </w:pPr>
    </w:p>
    <w:p w:rsidR="00124F70" w:rsidRDefault="009F5CB0" w:rsidP="009F5CB0">
      <w:pPr>
        <w:jc w:val="both"/>
        <w:rPr>
          <w:rFonts w:asciiTheme="minorHAnsi" w:hAnsiTheme="minorHAnsi" w:cstheme="minorHAnsi"/>
          <w:sz w:val="20"/>
          <w:szCs w:val="20"/>
        </w:rPr>
      </w:pPr>
      <w:r w:rsidRPr="009F5CB0">
        <w:rPr>
          <w:rFonts w:asciiTheme="minorHAnsi" w:hAnsiTheme="minorHAnsi" w:cstheme="minorHAnsi"/>
          <w:bCs/>
          <w:sz w:val="20"/>
          <w:szCs w:val="20"/>
        </w:rPr>
        <w:t>Les frais et commissions sont exprimés TTC, sous la forme du tableau ci-dessous et représentent le maximum pouvant être prélevé à l’investisseur par poste.</w:t>
      </w:r>
    </w:p>
    <w:p w:rsidR="00124F70" w:rsidRDefault="00124F70" w:rsidP="00A27088">
      <w:pPr>
        <w:jc w:val="both"/>
        <w:rPr>
          <w:rFonts w:asciiTheme="minorHAnsi" w:hAnsiTheme="minorHAnsi" w:cstheme="minorHAnsi"/>
          <w:sz w:val="20"/>
          <w:szCs w:val="2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1536"/>
        <w:gridCol w:w="2373"/>
        <w:gridCol w:w="2381"/>
      </w:tblGrid>
      <w:tr w:rsidR="00A344AD" w:rsidRPr="00A344AD" w:rsidTr="00F90E50">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b/>
                <w:bCs/>
                <w:sz w:val="20"/>
                <w:szCs w:val="20"/>
              </w:rPr>
            </w:pPr>
            <w:r w:rsidRPr="00A344AD">
              <w:rPr>
                <w:rFonts w:asciiTheme="minorHAnsi" w:hAnsiTheme="minorHAnsi" w:cstheme="minorHAnsi"/>
                <w:b/>
                <w:bCs/>
                <w:sz w:val="20"/>
                <w:szCs w:val="20"/>
              </w:rPr>
              <w:lastRenderedPageBreak/>
              <w:t>Type de frais (direct ou indirect)</w:t>
            </w:r>
          </w:p>
        </w:tc>
        <w:tc>
          <w:tcPr>
            <w:tcW w:w="1536"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b/>
                <w:bCs/>
                <w:sz w:val="20"/>
                <w:szCs w:val="20"/>
              </w:rPr>
            </w:pPr>
            <w:r w:rsidRPr="00A344AD">
              <w:rPr>
                <w:rFonts w:asciiTheme="minorHAnsi" w:hAnsiTheme="minorHAnsi" w:cstheme="minorHAnsi"/>
                <w:b/>
                <w:bCs/>
                <w:sz w:val="20"/>
                <w:szCs w:val="20"/>
              </w:rPr>
              <w:t>Rémunération de l’intermédiaire en biens divers ou d’un tiers</w:t>
            </w:r>
          </w:p>
        </w:tc>
        <w:tc>
          <w:tcPr>
            <w:tcW w:w="2373"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b/>
                <w:bCs/>
                <w:sz w:val="20"/>
                <w:szCs w:val="20"/>
              </w:rPr>
            </w:pPr>
            <w:r w:rsidRPr="00A344AD">
              <w:rPr>
                <w:rFonts w:asciiTheme="minorHAnsi" w:hAnsiTheme="minorHAnsi" w:cstheme="minorHAnsi"/>
                <w:b/>
                <w:bCs/>
                <w:sz w:val="20"/>
                <w:szCs w:val="20"/>
              </w:rPr>
              <w:t>Taux barème et assiette ou forfait</w:t>
            </w:r>
          </w:p>
        </w:tc>
        <w:tc>
          <w:tcPr>
            <w:tcW w:w="2381"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b/>
                <w:bCs/>
                <w:sz w:val="20"/>
                <w:szCs w:val="20"/>
              </w:rPr>
            </w:pPr>
            <w:r w:rsidRPr="00A344AD">
              <w:rPr>
                <w:rFonts w:asciiTheme="minorHAnsi" w:hAnsiTheme="minorHAnsi" w:cstheme="minorHAnsi"/>
                <w:b/>
                <w:bCs/>
                <w:sz w:val="20"/>
                <w:szCs w:val="20"/>
              </w:rPr>
              <w:t>Modalités de prélèvement</w:t>
            </w:r>
          </w:p>
        </w:tc>
      </w:tr>
      <w:tr w:rsidR="00A344AD" w:rsidRPr="00A344AD" w:rsidTr="00F90E50">
        <w:trPr>
          <w:trHeight w:val="581"/>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b/>
                <w:bCs/>
                <w:sz w:val="20"/>
                <w:szCs w:val="20"/>
              </w:rPr>
              <w:t>Frais directement à la charge de l’investisseur</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r>
      <w:tr w:rsidR="00A344AD" w:rsidRPr="00A344AD" w:rsidTr="00F90E50">
        <w:trPr>
          <w:trHeight w:val="581"/>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Commission de souscription ou droit d’entrée</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Directement prélevés sur le montant investi ou à la charge de l’investisseur</w:t>
            </w:r>
          </w:p>
        </w:tc>
      </w:tr>
      <w:tr w:rsidR="00A344AD" w:rsidRPr="00A344AD" w:rsidTr="00F90E50">
        <w:trPr>
          <w:trHeight w:val="703"/>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Frais de gestion</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Préciser les modalités d’acquittement et la fréquence</w:t>
            </w:r>
          </w:p>
        </w:tc>
      </w:tr>
      <w:tr w:rsidR="00A344AD" w:rsidRPr="00A344AD" w:rsidTr="00F90E50">
        <w:trPr>
          <w:trHeight w:val="703"/>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Frais de garantie</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 xml:space="preserve">Préciser les modalités d’acquittement et la fréquence </w:t>
            </w:r>
          </w:p>
        </w:tc>
      </w:tr>
      <w:tr w:rsidR="00A344AD" w:rsidRPr="00A344AD" w:rsidTr="00F90E50">
        <w:trPr>
          <w:trHeight w:val="605"/>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Autre frais (conservation, transport…)</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Préciser les modalités d’acquittement et la fréquence</w:t>
            </w:r>
          </w:p>
        </w:tc>
      </w:tr>
      <w:tr w:rsidR="00A344AD" w:rsidRPr="00A344AD" w:rsidTr="00F90E50">
        <w:trPr>
          <w:trHeight w:val="605"/>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Commission sur transaction</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r>
      <w:tr w:rsidR="00A344AD" w:rsidRPr="00A344AD" w:rsidTr="00F90E50">
        <w:trPr>
          <w:trHeight w:val="365"/>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Commission de liquidation (afférente à la revente des biens)</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r>
      <w:tr w:rsidR="00A344AD" w:rsidRPr="00A344AD" w:rsidTr="00F90E50">
        <w:trPr>
          <w:trHeight w:val="365"/>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Commission sur plus-value (si plusieurs intermédiaires en biens divers interviennent dans l’opération et que plusieurs ou tous perçoivent une commission sur plus-value, il convient de ventiler ladite commission pour chaque intermédiaire)</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 xml:space="preserve">Préciser s’il s’agit de commissions </w:t>
            </w:r>
            <w:r w:rsidRPr="00A344AD">
              <w:rPr>
                <w:rFonts w:asciiTheme="minorHAnsi" w:hAnsiTheme="minorHAnsi" w:cstheme="minorHAnsi"/>
                <w:i/>
                <w:sz w:val="20"/>
                <w:szCs w:val="20"/>
              </w:rPr>
              <w:t>deal by deal</w:t>
            </w:r>
            <w:r w:rsidRPr="00A344AD">
              <w:rPr>
                <w:rFonts w:asciiTheme="minorHAnsi" w:hAnsiTheme="minorHAnsi" w:cstheme="minorHAnsi"/>
                <w:sz w:val="20"/>
                <w:szCs w:val="20"/>
              </w:rPr>
              <w:t xml:space="preserve"> ou </w:t>
            </w:r>
            <w:r w:rsidRPr="00A344AD">
              <w:rPr>
                <w:rFonts w:asciiTheme="minorHAnsi" w:hAnsiTheme="minorHAnsi" w:cstheme="minorHAnsi"/>
                <w:i/>
                <w:sz w:val="20"/>
                <w:szCs w:val="20"/>
              </w:rPr>
              <w:t xml:space="preserve">as a </w:t>
            </w:r>
            <w:proofErr w:type="spellStart"/>
            <w:r w:rsidRPr="00A344AD">
              <w:rPr>
                <w:rFonts w:asciiTheme="minorHAnsi" w:hAnsiTheme="minorHAnsi" w:cstheme="minorHAnsi"/>
                <w:i/>
                <w:sz w:val="20"/>
                <w:szCs w:val="20"/>
              </w:rPr>
              <w:t>whole</w:t>
            </w:r>
            <w:proofErr w:type="spellEnd"/>
          </w:p>
        </w:tc>
        <w:tc>
          <w:tcPr>
            <w:tcW w:w="2381"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r>
      <w:tr w:rsidR="00A344AD" w:rsidRPr="00A344AD" w:rsidTr="00F90E50">
        <w:trPr>
          <w:trHeight w:val="365"/>
        </w:trPr>
        <w:tc>
          <w:tcPr>
            <w:tcW w:w="3205"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b/>
                <w:sz w:val="20"/>
                <w:szCs w:val="20"/>
              </w:rPr>
            </w:pPr>
            <w:r w:rsidRPr="00A344AD">
              <w:rPr>
                <w:rFonts w:asciiTheme="minorHAnsi" w:hAnsiTheme="minorHAnsi" w:cstheme="minorHAnsi"/>
                <w:b/>
                <w:sz w:val="20"/>
                <w:szCs w:val="20"/>
              </w:rPr>
              <w:t xml:space="preserve">Autres frais indirects pouvant impacter la rentabilité de l’investissement (par exemple, rémunération de l’intermédiaire en biens divers à l’initiative de l’opération par un tiers) </w:t>
            </w:r>
          </w:p>
        </w:tc>
        <w:tc>
          <w:tcPr>
            <w:tcW w:w="1536"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73" w:type="dxa"/>
            <w:tcBorders>
              <w:top w:val="single" w:sz="4" w:space="0" w:color="auto"/>
              <w:left w:val="single" w:sz="4" w:space="0" w:color="auto"/>
              <w:bottom w:val="single" w:sz="4" w:space="0" w:color="auto"/>
              <w:right w:val="single" w:sz="4" w:space="0" w:color="auto"/>
            </w:tcBorders>
          </w:tcPr>
          <w:p w:rsidR="00A344AD" w:rsidRPr="00A344AD" w:rsidRDefault="00A344AD" w:rsidP="00A344AD">
            <w:pPr>
              <w:jc w:val="both"/>
              <w:rPr>
                <w:rFonts w:asciiTheme="minorHAnsi" w:hAnsiTheme="minorHAnsi" w:cstheme="minorHAnsi"/>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Préciser les modalités  et la fréquence</w:t>
            </w:r>
          </w:p>
        </w:tc>
      </w:tr>
    </w:tbl>
    <w:p w:rsidR="009F5CB0" w:rsidRDefault="009F5CB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A344AD" w:rsidRPr="00A344AD" w:rsidRDefault="00A344AD" w:rsidP="00A344AD">
      <w:pPr>
        <w:jc w:val="both"/>
        <w:rPr>
          <w:rFonts w:asciiTheme="minorHAnsi" w:hAnsiTheme="minorHAnsi" w:cstheme="minorHAnsi"/>
          <w:sz w:val="20"/>
          <w:szCs w:val="20"/>
        </w:rPr>
      </w:pPr>
      <w:r w:rsidRPr="00A344AD">
        <w:rPr>
          <w:rFonts w:asciiTheme="minorHAnsi" w:hAnsiTheme="minorHAnsi" w:cstheme="minorHAnsi"/>
          <w:sz w:val="20"/>
          <w:szCs w:val="20"/>
        </w:rPr>
        <w:t xml:space="preserve">Ajouter la mention suivante : </w:t>
      </w:r>
      <w:r w:rsidRPr="00A344AD">
        <w:rPr>
          <w:rFonts w:asciiTheme="minorHAnsi" w:hAnsiTheme="minorHAnsi" w:cstheme="minorHAnsi"/>
          <w:i/>
          <w:sz w:val="20"/>
          <w:szCs w:val="20"/>
        </w:rPr>
        <w:t>« Les frais acquittés réduisent la rentabilité de l’investissement ».</w:t>
      </w:r>
      <w:r w:rsidRPr="00A344AD">
        <w:rPr>
          <w:rFonts w:asciiTheme="minorHAnsi" w:hAnsiTheme="minorHAnsi" w:cstheme="minorHAnsi"/>
          <w:sz w:val="20"/>
          <w:szCs w:val="20"/>
        </w:rPr>
        <w:t xml:space="preserve"> </w:t>
      </w:r>
    </w:p>
    <w:p w:rsidR="00A344AD" w:rsidRPr="00A344AD" w:rsidRDefault="00A344AD" w:rsidP="00A344AD">
      <w:pPr>
        <w:jc w:val="both"/>
        <w:rPr>
          <w:rFonts w:asciiTheme="minorHAnsi" w:hAnsiTheme="minorHAnsi" w:cstheme="minorHAnsi"/>
          <w:b/>
          <w:bCs/>
          <w:sz w:val="20"/>
          <w:szCs w:val="20"/>
        </w:rPr>
      </w:pPr>
    </w:p>
    <w:p w:rsidR="00124F70" w:rsidRDefault="00A344AD" w:rsidP="00A344AD">
      <w:pPr>
        <w:jc w:val="both"/>
        <w:rPr>
          <w:rFonts w:asciiTheme="minorHAnsi" w:hAnsiTheme="minorHAnsi" w:cstheme="minorHAnsi"/>
          <w:bCs/>
          <w:sz w:val="20"/>
          <w:szCs w:val="20"/>
        </w:rPr>
      </w:pPr>
      <w:r w:rsidRPr="00A344AD">
        <w:rPr>
          <w:rFonts w:asciiTheme="minorHAnsi" w:hAnsiTheme="minorHAnsi" w:cstheme="minorHAnsi"/>
          <w:bCs/>
          <w:sz w:val="20"/>
          <w:szCs w:val="20"/>
        </w:rPr>
        <w:t>Les frais administratifs, liés à l’intervention de l’expert, à la souscription d’une assurance sur les biens, à la souscription d’une assurance de responsabilité civile professionnelle de l’intermédiaire en bien divers, aux frais bancaires de tenue du compte de l’intermédiaire en biens divers, et en cas de faculté de reprise ou d’échangé liés à la souscription d’un mécanisme de liquidité sont inclus dans les frais de gestion.</w:t>
      </w:r>
    </w:p>
    <w:p w:rsidR="00A21A72" w:rsidRDefault="00A21A72" w:rsidP="00A344AD">
      <w:pPr>
        <w:jc w:val="both"/>
        <w:rPr>
          <w:rFonts w:asciiTheme="minorHAnsi" w:hAnsiTheme="minorHAnsi" w:cstheme="minorHAnsi"/>
          <w:bCs/>
          <w:sz w:val="20"/>
          <w:szCs w:val="20"/>
        </w:rPr>
      </w:pPr>
    </w:p>
    <w:p w:rsidR="00A344AD" w:rsidRDefault="00A344AD" w:rsidP="00A344AD">
      <w:pPr>
        <w:jc w:val="both"/>
        <w:rPr>
          <w:rFonts w:asciiTheme="minorHAnsi" w:hAnsiTheme="minorHAnsi" w:cstheme="minorHAnsi"/>
          <w:bCs/>
          <w:sz w:val="20"/>
          <w:szCs w:val="20"/>
        </w:rPr>
      </w:pPr>
    </w:p>
    <w:p w:rsidR="00A21A72" w:rsidRPr="00A21A72" w:rsidRDefault="00A21A72" w:rsidP="00A21A72">
      <w:pPr>
        <w:jc w:val="both"/>
        <w:rPr>
          <w:rFonts w:asciiTheme="minorHAnsi" w:hAnsiTheme="minorHAnsi" w:cstheme="minorHAnsi"/>
          <w:b/>
          <w:bCs/>
          <w:sz w:val="20"/>
          <w:szCs w:val="20"/>
        </w:rPr>
      </w:pPr>
      <w:r w:rsidRPr="00A21A72">
        <w:rPr>
          <w:rFonts w:asciiTheme="minorHAnsi" w:hAnsiTheme="minorHAnsi" w:cstheme="minorHAnsi"/>
          <w:b/>
          <w:bCs/>
          <w:sz w:val="20"/>
          <w:szCs w:val="20"/>
        </w:rPr>
        <w:t>IV. Scénarii d’évolution de l’investissement</w:t>
      </w:r>
    </w:p>
    <w:p w:rsidR="00A21A72" w:rsidRPr="00A21A72" w:rsidRDefault="00A21A72" w:rsidP="00A21A72">
      <w:pPr>
        <w:jc w:val="both"/>
        <w:rPr>
          <w:rFonts w:asciiTheme="minorHAnsi" w:hAnsiTheme="minorHAnsi" w:cstheme="minorHAnsi"/>
          <w:bCs/>
          <w:sz w:val="20"/>
          <w:szCs w:val="20"/>
        </w:rPr>
      </w:pPr>
    </w:p>
    <w:p w:rsidR="00A21A72" w:rsidRPr="00A21A72" w:rsidRDefault="00A21A72" w:rsidP="00A21A72">
      <w:pPr>
        <w:jc w:val="both"/>
        <w:rPr>
          <w:rFonts w:asciiTheme="minorHAnsi" w:hAnsiTheme="minorHAnsi" w:cstheme="minorHAnsi"/>
          <w:bCs/>
          <w:sz w:val="20"/>
          <w:szCs w:val="20"/>
        </w:rPr>
      </w:pPr>
      <w:r w:rsidRPr="00A21A72">
        <w:rPr>
          <w:rFonts w:asciiTheme="minorHAnsi" w:hAnsiTheme="minorHAnsi" w:cstheme="minorHAnsi"/>
          <w:bCs/>
          <w:sz w:val="20"/>
          <w:szCs w:val="20"/>
        </w:rPr>
        <w:t>Ce paragraphe a vocation à illustrer graphiquement ou à l’aide d’un tableau le fonctionnement de l’opération afin de montrer :</w:t>
      </w:r>
    </w:p>
    <w:p w:rsidR="00A21A72" w:rsidRPr="00A21A72" w:rsidRDefault="00A21A72" w:rsidP="00AF412F">
      <w:pPr>
        <w:numPr>
          <w:ilvl w:val="0"/>
          <w:numId w:val="6"/>
        </w:numPr>
        <w:jc w:val="both"/>
        <w:rPr>
          <w:rFonts w:asciiTheme="minorHAnsi" w:hAnsiTheme="minorHAnsi" w:cstheme="minorHAnsi"/>
          <w:bCs/>
          <w:sz w:val="20"/>
          <w:szCs w:val="20"/>
        </w:rPr>
      </w:pPr>
      <w:r w:rsidRPr="00A21A72">
        <w:rPr>
          <w:rFonts w:asciiTheme="minorHAnsi" w:hAnsiTheme="minorHAnsi" w:cstheme="minorHAnsi"/>
          <w:bCs/>
          <w:sz w:val="20"/>
          <w:szCs w:val="20"/>
        </w:rPr>
        <w:t>Le montant investi,</w:t>
      </w:r>
    </w:p>
    <w:p w:rsidR="00A21A72" w:rsidRPr="00A21A72" w:rsidRDefault="00A21A72" w:rsidP="00AF412F">
      <w:pPr>
        <w:numPr>
          <w:ilvl w:val="0"/>
          <w:numId w:val="6"/>
        </w:numPr>
        <w:jc w:val="both"/>
        <w:rPr>
          <w:rFonts w:asciiTheme="minorHAnsi" w:hAnsiTheme="minorHAnsi" w:cstheme="minorHAnsi"/>
          <w:bCs/>
          <w:sz w:val="20"/>
          <w:szCs w:val="20"/>
        </w:rPr>
      </w:pPr>
      <w:r w:rsidRPr="00A21A72">
        <w:rPr>
          <w:rFonts w:asciiTheme="minorHAnsi" w:hAnsiTheme="minorHAnsi" w:cstheme="minorHAnsi"/>
          <w:bCs/>
          <w:sz w:val="20"/>
          <w:szCs w:val="20"/>
        </w:rPr>
        <w:lastRenderedPageBreak/>
        <w:t>L’impact des frais sur la rentabilité du placement, y compris les commissions sur plus-values pouvant être prélevées,</w:t>
      </w:r>
    </w:p>
    <w:p w:rsidR="00A21A72" w:rsidRPr="00A21A72" w:rsidRDefault="00A21A72" w:rsidP="00AF412F">
      <w:pPr>
        <w:numPr>
          <w:ilvl w:val="0"/>
          <w:numId w:val="6"/>
        </w:numPr>
        <w:jc w:val="both"/>
        <w:rPr>
          <w:rFonts w:asciiTheme="minorHAnsi" w:hAnsiTheme="minorHAnsi" w:cstheme="minorHAnsi"/>
          <w:bCs/>
          <w:sz w:val="20"/>
          <w:szCs w:val="20"/>
        </w:rPr>
      </w:pPr>
      <w:r w:rsidRPr="00A21A72">
        <w:rPr>
          <w:rFonts w:asciiTheme="minorHAnsi" w:hAnsiTheme="minorHAnsi" w:cstheme="minorHAnsi"/>
          <w:bCs/>
          <w:sz w:val="20"/>
          <w:szCs w:val="20"/>
        </w:rPr>
        <w:t>L’impact de l’évolution du marché des biens sous-jacents sur la rentabilité du placement.</w:t>
      </w:r>
    </w:p>
    <w:p w:rsidR="00A21A72" w:rsidRPr="00A21A72" w:rsidRDefault="00A21A72" w:rsidP="00A21A72">
      <w:pPr>
        <w:jc w:val="both"/>
        <w:rPr>
          <w:rFonts w:asciiTheme="minorHAnsi" w:hAnsiTheme="minorHAnsi" w:cstheme="minorHAnsi"/>
          <w:sz w:val="20"/>
          <w:szCs w:val="20"/>
        </w:rPr>
      </w:pPr>
    </w:p>
    <w:p w:rsidR="00A21A72" w:rsidRPr="00A21A72" w:rsidRDefault="00A21A72" w:rsidP="00A21A72">
      <w:pPr>
        <w:jc w:val="both"/>
        <w:rPr>
          <w:rFonts w:asciiTheme="minorHAnsi" w:hAnsiTheme="minorHAnsi" w:cstheme="minorHAnsi"/>
          <w:sz w:val="20"/>
          <w:szCs w:val="20"/>
        </w:rPr>
      </w:pPr>
      <w:r w:rsidRPr="00A21A72">
        <w:rPr>
          <w:rFonts w:asciiTheme="minorHAnsi" w:hAnsiTheme="minorHAnsi" w:cstheme="minorHAnsi"/>
          <w:sz w:val="20"/>
          <w:szCs w:val="20"/>
        </w:rPr>
        <w:t xml:space="preserve">Trois scénarii sont attendus : </w:t>
      </w:r>
    </w:p>
    <w:p w:rsidR="00A21A72" w:rsidRPr="00A21A72" w:rsidRDefault="00A21A72" w:rsidP="00AF412F">
      <w:pPr>
        <w:numPr>
          <w:ilvl w:val="0"/>
          <w:numId w:val="6"/>
        </w:numPr>
        <w:jc w:val="both"/>
        <w:rPr>
          <w:rFonts w:asciiTheme="minorHAnsi" w:hAnsiTheme="minorHAnsi" w:cstheme="minorHAnsi"/>
          <w:sz w:val="20"/>
          <w:szCs w:val="20"/>
        </w:rPr>
      </w:pPr>
      <w:proofErr w:type="gramStart"/>
      <w:r w:rsidRPr="00A21A72">
        <w:rPr>
          <w:rFonts w:asciiTheme="minorHAnsi" w:hAnsiTheme="minorHAnsi" w:cstheme="minorHAnsi"/>
          <w:sz w:val="20"/>
          <w:szCs w:val="20"/>
        </w:rPr>
        <w:t>un</w:t>
      </w:r>
      <w:proofErr w:type="gramEnd"/>
      <w:r w:rsidRPr="00A21A72">
        <w:rPr>
          <w:rFonts w:asciiTheme="minorHAnsi" w:hAnsiTheme="minorHAnsi" w:cstheme="minorHAnsi"/>
          <w:sz w:val="20"/>
          <w:szCs w:val="20"/>
        </w:rPr>
        <w:t xml:space="preserve"> scénario défavorable, à faire figurer en premier ayant pour vocation d’illustrer les évènements les plus préjudiciables pour l’investisseur, </w:t>
      </w:r>
    </w:p>
    <w:p w:rsidR="00A21A72" w:rsidRPr="00A21A72" w:rsidRDefault="00A21A72" w:rsidP="00AF412F">
      <w:pPr>
        <w:numPr>
          <w:ilvl w:val="0"/>
          <w:numId w:val="6"/>
        </w:numPr>
        <w:jc w:val="both"/>
        <w:rPr>
          <w:rFonts w:asciiTheme="minorHAnsi" w:hAnsiTheme="minorHAnsi" w:cstheme="minorHAnsi"/>
          <w:sz w:val="20"/>
          <w:szCs w:val="20"/>
        </w:rPr>
      </w:pPr>
      <w:proofErr w:type="gramStart"/>
      <w:r w:rsidRPr="00A21A72">
        <w:rPr>
          <w:rFonts w:asciiTheme="minorHAnsi" w:hAnsiTheme="minorHAnsi" w:cstheme="minorHAnsi"/>
          <w:sz w:val="20"/>
          <w:szCs w:val="20"/>
        </w:rPr>
        <w:t>un</w:t>
      </w:r>
      <w:proofErr w:type="gramEnd"/>
      <w:r w:rsidRPr="00A21A72">
        <w:rPr>
          <w:rFonts w:asciiTheme="minorHAnsi" w:hAnsiTheme="minorHAnsi" w:cstheme="minorHAnsi"/>
          <w:sz w:val="20"/>
          <w:szCs w:val="20"/>
        </w:rPr>
        <w:t xml:space="preserve"> scénario médian,</w:t>
      </w:r>
    </w:p>
    <w:p w:rsidR="00A21A72" w:rsidRPr="00A21A72" w:rsidRDefault="00A21A72" w:rsidP="00AF412F">
      <w:pPr>
        <w:numPr>
          <w:ilvl w:val="0"/>
          <w:numId w:val="6"/>
        </w:numPr>
        <w:jc w:val="both"/>
        <w:rPr>
          <w:rFonts w:asciiTheme="minorHAnsi" w:hAnsiTheme="minorHAnsi" w:cstheme="minorHAnsi"/>
          <w:sz w:val="20"/>
          <w:szCs w:val="20"/>
        </w:rPr>
      </w:pPr>
      <w:proofErr w:type="gramStart"/>
      <w:r w:rsidRPr="00A21A72">
        <w:rPr>
          <w:rFonts w:asciiTheme="minorHAnsi" w:hAnsiTheme="minorHAnsi" w:cstheme="minorHAnsi"/>
          <w:sz w:val="20"/>
          <w:szCs w:val="20"/>
        </w:rPr>
        <w:t>un</w:t>
      </w:r>
      <w:proofErr w:type="gramEnd"/>
      <w:r w:rsidRPr="00A21A72">
        <w:rPr>
          <w:rFonts w:asciiTheme="minorHAnsi" w:hAnsiTheme="minorHAnsi" w:cstheme="minorHAnsi"/>
          <w:sz w:val="20"/>
          <w:szCs w:val="20"/>
        </w:rPr>
        <w:t xml:space="preserve"> scénario favorable, qui doit illustrer le fonctionnement du placement mais en aucun cas induire l’investisseur en erreur sur les perspectives de rendement.</w:t>
      </w:r>
    </w:p>
    <w:p w:rsidR="00A21A72" w:rsidRPr="00A21A72" w:rsidRDefault="00A21A72" w:rsidP="00A21A72">
      <w:pPr>
        <w:jc w:val="both"/>
        <w:rPr>
          <w:rFonts w:asciiTheme="minorHAnsi" w:hAnsiTheme="minorHAnsi" w:cstheme="minorHAnsi"/>
          <w:sz w:val="20"/>
          <w:szCs w:val="20"/>
        </w:rPr>
      </w:pPr>
    </w:p>
    <w:p w:rsidR="00A21A72" w:rsidRPr="00A21A72" w:rsidRDefault="00A21A72" w:rsidP="00A21A72">
      <w:pPr>
        <w:jc w:val="both"/>
        <w:rPr>
          <w:rFonts w:asciiTheme="minorHAnsi" w:hAnsiTheme="minorHAnsi" w:cstheme="minorHAnsi"/>
          <w:sz w:val="20"/>
          <w:szCs w:val="20"/>
        </w:rPr>
      </w:pPr>
      <w:r w:rsidRPr="00A21A72">
        <w:rPr>
          <w:rFonts w:asciiTheme="minorHAnsi" w:hAnsiTheme="minorHAnsi" w:cstheme="minorHAnsi"/>
          <w:sz w:val="20"/>
          <w:szCs w:val="20"/>
        </w:rPr>
        <w:t>Les exemples utilisés dans la conception du ou des scénarios sont basés sur des hypothèses raisonnables et prudentes en ce qui concerne l’évolution future des prix et des conditions de marché.</w:t>
      </w:r>
    </w:p>
    <w:p w:rsidR="00A21A72" w:rsidRPr="00A21A72" w:rsidRDefault="00A21A72" w:rsidP="00A21A72">
      <w:pPr>
        <w:jc w:val="both"/>
        <w:rPr>
          <w:rFonts w:asciiTheme="minorHAnsi" w:hAnsiTheme="minorHAnsi" w:cstheme="minorHAnsi"/>
          <w:sz w:val="20"/>
          <w:szCs w:val="20"/>
        </w:rPr>
      </w:pPr>
    </w:p>
    <w:p w:rsidR="00A344AD" w:rsidRDefault="00A344AD" w:rsidP="00A344AD">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b/>
          <w:bCs/>
          <w:sz w:val="20"/>
          <w:szCs w:val="20"/>
        </w:rPr>
      </w:pPr>
      <w:r w:rsidRPr="00691239">
        <w:rPr>
          <w:rFonts w:asciiTheme="minorHAnsi" w:hAnsiTheme="minorHAnsi" w:cstheme="minorHAnsi"/>
          <w:b/>
          <w:bCs/>
          <w:sz w:val="20"/>
          <w:szCs w:val="20"/>
        </w:rPr>
        <w:t>V. Informations relatives aux acteurs de l’opération</w:t>
      </w:r>
    </w:p>
    <w:p w:rsidR="00691239" w:rsidRPr="00691239" w:rsidRDefault="00691239" w:rsidP="00691239">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sz w:val="20"/>
          <w:szCs w:val="20"/>
        </w:rPr>
        <w:t>Cette rubrique comporte la liste et les coordonnées de l'ensemble des acteurs concernés au titre de la gestion, de la conservation, du contrôle ou de la distribution.</w:t>
      </w:r>
    </w:p>
    <w:p w:rsidR="00691239" w:rsidRPr="00691239" w:rsidRDefault="00691239" w:rsidP="00691239">
      <w:pPr>
        <w:jc w:val="both"/>
        <w:rPr>
          <w:rFonts w:asciiTheme="minorHAnsi" w:hAnsiTheme="minorHAnsi" w:cstheme="minorHAnsi"/>
          <w:sz w:val="20"/>
          <w:szCs w:val="20"/>
        </w:rPr>
      </w:pPr>
    </w:p>
    <w:p w:rsidR="00691239" w:rsidRPr="00691239" w:rsidRDefault="00691239" w:rsidP="00AF412F">
      <w:pPr>
        <w:numPr>
          <w:ilvl w:val="0"/>
          <w:numId w:val="9"/>
        </w:numPr>
        <w:jc w:val="both"/>
        <w:rPr>
          <w:rFonts w:asciiTheme="minorHAnsi" w:hAnsiTheme="minorHAnsi" w:cstheme="minorHAnsi"/>
          <w:sz w:val="20"/>
          <w:szCs w:val="20"/>
        </w:rPr>
      </w:pPr>
      <w:r w:rsidRPr="00691239">
        <w:rPr>
          <w:rFonts w:asciiTheme="minorHAnsi" w:hAnsiTheme="minorHAnsi" w:cstheme="minorHAnsi"/>
          <w:sz w:val="20"/>
          <w:szCs w:val="20"/>
        </w:rPr>
        <w:t>Information relative à celui des intermédiaires en biens divers mentionnés au 1° du I et au II de l’article L.551-1 du code monétaire et financier qui prend l’initiative de l’opération :</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i/>
          <w:iCs/>
          <w:sz w:val="20"/>
          <w:szCs w:val="20"/>
        </w:rPr>
        <w:t>a)</w:t>
      </w:r>
      <w:r w:rsidRPr="00691239">
        <w:rPr>
          <w:rFonts w:asciiTheme="minorHAnsi" w:hAnsiTheme="minorHAnsi" w:cstheme="minorHAnsi"/>
          <w:i/>
          <w:iCs/>
          <w:sz w:val="20"/>
          <w:szCs w:val="20"/>
        </w:rPr>
        <w:tab/>
      </w:r>
      <w:r w:rsidRPr="00691239">
        <w:rPr>
          <w:rFonts w:asciiTheme="minorHAnsi" w:hAnsiTheme="minorHAnsi" w:cstheme="minorHAnsi"/>
          <w:sz w:val="20"/>
          <w:szCs w:val="20"/>
        </w:rPr>
        <w:t>Pour les personnes physiques : dénomination, adresse postale ;</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i/>
          <w:iCs/>
          <w:sz w:val="20"/>
          <w:szCs w:val="20"/>
        </w:rPr>
        <w:t>b)</w:t>
      </w:r>
      <w:r w:rsidRPr="00691239">
        <w:rPr>
          <w:rFonts w:asciiTheme="minorHAnsi" w:hAnsiTheme="minorHAnsi" w:cstheme="minorHAnsi"/>
          <w:i/>
          <w:iCs/>
          <w:sz w:val="20"/>
          <w:szCs w:val="20"/>
        </w:rPr>
        <w:tab/>
      </w:r>
      <w:r w:rsidRPr="00691239">
        <w:rPr>
          <w:rFonts w:asciiTheme="minorHAnsi" w:hAnsiTheme="minorHAnsi" w:cstheme="minorHAnsi"/>
          <w:sz w:val="20"/>
          <w:szCs w:val="20"/>
        </w:rPr>
        <w:t>Pour les personnes morales : dénomination ou raison sociale, forme juridique, siège social et adresse postale si celle-ci est différente, gouvernance, capital social, nom du commissaire aux comptes le cas échéant, et objet social de la société.</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sz w:val="20"/>
          <w:szCs w:val="20"/>
        </w:rPr>
        <w:tab/>
        <w:t>Indication des chiffres d’affaires des 3 derniers exercices.</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i/>
          <w:iCs/>
          <w:sz w:val="20"/>
          <w:szCs w:val="20"/>
        </w:rPr>
        <w:tab/>
      </w:r>
    </w:p>
    <w:p w:rsidR="00691239" w:rsidRPr="00691239" w:rsidRDefault="00691239" w:rsidP="00AF412F">
      <w:pPr>
        <w:numPr>
          <w:ilvl w:val="0"/>
          <w:numId w:val="9"/>
        </w:numPr>
        <w:jc w:val="both"/>
        <w:rPr>
          <w:rFonts w:asciiTheme="minorHAnsi" w:hAnsiTheme="minorHAnsi" w:cstheme="minorHAnsi"/>
          <w:sz w:val="20"/>
          <w:szCs w:val="20"/>
        </w:rPr>
      </w:pPr>
      <w:r w:rsidRPr="00691239">
        <w:rPr>
          <w:rFonts w:asciiTheme="minorHAnsi" w:hAnsiTheme="minorHAnsi" w:cstheme="minorHAnsi"/>
          <w:sz w:val="20"/>
          <w:szCs w:val="20"/>
        </w:rPr>
        <w:t>Information relative à l’expert attestant de l’existence des biens, donnant un avis sur leur liquidité et sur leur valorisation :</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i/>
          <w:iCs/>
          <w:sz w:val="20"/>
          <w:szCs w:val="20"/>
        </w:rPr>
        <w:t>a)</w:t>
      </w:r>
      <w:r w:rsidRPr="00691239">
        <w:rPr>
          <w:rFonts w:asciiTheme="minorHAnsi" w:hAnsiTheme="minorHAnsi" w:cstheme="minorHAnsi"/>
          <w:i/>
          <w:iCs/>
          <w:sz w:val="20"/>
          <w:szCs w:val="20"/>
        </w:rPr>
        <w:tab/>
      </w:r>
      <w:r w:rsidRPr="00691239">
        <w:rPr>
          <w:rFonts w:asciiTheme="minorHAnsi" w:hAnsiTheme="minorHAnsi" w:cstheme="minorHAnsi"/>
          <w:sz w:val="20"/>
          <w:szCs w:val="20"/>
        </w:rPr>
        <w:t>Pour les personnes physiques : dénomination, adresse postale ;</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i/>
          <w:iCs/>
          <w:sz w:val="20"/>
          <w:szCs w:val="20"/>
        </w:rPr>
        <w:t>b)</w:t>
      </w:r>
      <w:r w:rsidRPr="00691239">
        <w:rPr>
          <w:rFonts w:asciiTheme="minorHAnsi" w:hAnsiTheme="minorHAnsi" w:cstheme="minorHAnsi"/>
          <w:i/>
          <w:iCs/>
          <w:sz w:val="20"/>
          <w:szCs w:val="20"/>
        </w:rPr>
        <w:tab/>
      </w:r>
      <w:r w:rsidRPr="00691239">
        <w:rPr>
          <w:rFonts w:asciiTheme="minorHAnsi" w:hAnsiTheme="minorHAnsi" w:cstheme="minorHAnsi"/>
          <w:sz w:val="20"/>
          <w:szCs w:val="20"/>
        </w:rPr>
        <w:t>Pour les personnes morales : dénomination ou raison sociale, forme juridique, siège social et adresse postale si celle-ci est différente ;</w:t>
      </w:r>
    </w:p>
    <w:p w:rsidR="00691239" w:rsidRPr="00691239" w:rsidRDefault="00691239" w:rsidP="00691239">
      <w:pPr>
        <w:jc w:val="both"/>
        <w:rPr>
          <w:rFonts w:asciiTheme="minorHAnsi" w:hAnsiTheme="minorHAnsi" w:cstheme="minorHAnsi"/>
          <w:sz w:val="20"/>
          <w:szCs w:val="20"/>
        </w:rPr>
      </w:pPr>
    </w:p>
    <w:p w:rsidR="00691239" w:rsidRPr="00691239" w:rsidRDefault="00691239" w:rsidP="00AF412F">
      <w:pPr>
        <w:numPr>
          <w:ilvl w:val="0"/>
          <w:numId w:val="9"/>
        </w:numPr>
        <w:jc w:val="both"/>
        <w:rPr>
          <w:rFonts w:asciiTheme="minorHAnsi" w:hAnsiTheme="minorHAnsi" w:cstheme="minorHAnsi"/>
          <w:sz w:val="20"/>
          <w:szCs w:val="20"/>
        </w:rPr>
      </w:pPr>
      <w:r w:rsidRPr="00691239">
        <w:rPr>
          <w:rFonts w:asciiTheme="minorHAnsi" w:hAnsiTheme="minorHAnsi" w:cstheme="minorHAnsi"/>
          <w:sz w:val="20"/>
          <w:szCs w:val="20"/>
        </w:rPr>
        <w:t>Nom du commissaire aux comptes le cas échéant (adresse et désignation)</w:t>
      </w:r>
    </w:p>
    <w:p w:rsidR="00691239" w:rsidRPr="00691239" w:rsidRDefault="00691239" w:rsidP="00691239">
      <w:pPr>
        <w:jc w:val="both"/>
        <w:rPr>
          <w:rFonts w:asciiTheme="minorHAnsi" w:hAnsiTheme="minorHAnsi" w:cstheme="minorHAnsi"/>
          <w:sz w:val="20"/>
          <w:szCs w:val="20"/>
        </w:rPr>
      </w:pPr>
    </w:p>
    <w:p w:rsidR="00691239" w:rsidRPr="00691239" w:rsidRDefault="00691239" w:rsidP="00AF412F">
      <w:pPr>
        <w:numPr>
          <w:ilvl w:val="0"/>
          <w:numId w:val="9"/>
        </w:numPr>
        <w:jc w:val="both"/>
        <w:rPr>
          <w:rFonts w:asciiTheme="minorHAnsi" w:hAnsiTheme="minorHAnsi" w:cstheme="minorHAnsi"/>
          <w:sz w:val="20"/>
          <w:szCs w:val="20"/>
        </w:rPr>
      </w:pPr>
      <w:r w:rsidRPr="00691239">
        <w:rPr>
          <w:rFonts w:asciiTheme="minorHAnsi" w:hAnsiTheme="minorHAnsi" w:cstheme="minorHAnsi"/>
          <w:sz w:val="20"/>
          <w:szCs w:val="20"/>
        </w:rPr>
        <w:t>Distributeurs (indiquez les informations relatives aux distributeurs envisagés au moment du dépôt du présent document d’information)</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sz w:val="20"/>
          <w:szCs w:val="20"/>
        </w:rPr>
        <w:t>Dénomination et adresse postale ou pour les personnes morales, dénomination ou raison sociale, forme juridique, siège social et adresse postale si celle-ci est différente du siège social.</w:t>
      </w:r>
    </w:p>
    <w:p w:rsidR="00691239" w:rsidRPr="00691239" w:rsidRDefault="00691239" w:rsidP="00691239">
      <w:pPr>
        <w:jc w:val="both"/>
        <w:rPr>
          <w:rFonts w:asciiTheme="minorHAnsi" w:hAnsiTheme="minorHAnsi" w:cstheme="minorHAnsi"/>
          <w:sz w:val="20"/>
          <w:szCs w:val="20"/>
        </w:rPr>
      </w:pPr>
    </w:p>
    <w:p w:rsidR="00691239" w:rsidRPr="00691239" w:rsidRDefault="00691239" w:rsidP="00AF412F">
      <w:pPr>
        <w:numPr>
          <w:ilvl w:val="0"/>
          <w:numId w:val="9"/>
        </w:numPr>
        <w:jc w:val="both"/>
        <w:rPr>
          <w:rFonts w:asciiTheme="minorHAnsi" w:hAnsiTheme="minorHAnsi" w:cstheme="minorHAnsi"/>
          <w:sz w:val="20"/>
          <w:szCs w:val="20"/>
        </w:rPr>
      </w:pPr>
      <w:r w:rsidRPr="00691239">
        <w:rPr>
          <w:rFonts w:asciiTheme="minorHAnsi" w:hAnsiTheme="minorHAnsi" w:cstheme="minorHAnsi"/>
          <w:sz w:val="20"/>
          <w:szCs w:val="20"/>
        </w:rPr>
        <w:t>Information sur la personne assurant les biens, sur lesquels des droits sont acquis ou remis en contrepartie d’une rente viagère</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sz w:val="20"/>
          <w:szCs w:val="20"/>
        </w:rPr>
        <w:t>Dénomination ou raison sociale, forme juridique, siège social et adresse postale si celle-ci est différente du siège social.</w:t>
      </w:r>
    </w:p>
    <w:p w:rsidR="00691239" w:rsidRPr="00691239" w:rsidRDefault="00691239" w:rsidP="00691239">
      <w:pPr>
        <w:jc w:val="both"/>
        <w:rPr>
          <w:rFonts w:asciiTheme="minorHAnsi" w:hAnsiTheme="minorHAnsi" w:cstheme="minorHAnsi"/>
          <w:sz w:val="20"/>
          <w:szCs w:val="20"/>
        </w:rPr>
      </w:pPr>
    </w:p>
    <w:p w:rsidR="00691239" w:rsidRPr="00691239" w:rsidRDefault="00691239" w:rsidP="00AF412F">
      <w:pPr>
        <w:numPr>
          <w:ilvl w:val="0"/>
          <w:numId w:val="9"/>
        </w:numPr>
        <w:jc w:val="both"/>
        <w:rPr>
          <w:rFonts w:asciiTheme="minorHAnsi" w:hAnsiTheme="minorHAnsi" w:cstheme="minorHAnsi"/>
          <w:sz w:val="20"/>
          <w:szCs w:val="20"/>
        </w:rPr>
      </w:pPr>
      <w:r w:rsidRPr="00691239">
        <w:rPr>
          <w:rFonts w:asciiTheme="minorHAnsi" w:hAnsiTheme="minorHAnsi" w:cstheme="minorHAnsi"/>
          <w:sz w:val="20"/>
          <w:szCs w:val="20"/>
        </w:rPr>
        <w:t>En cas de faculté de reprise ou d’échange, information sur les personnes garantissant la liquidité des biens ou des droits sur les biens</w:t>
      </w:r>
    </w:p>
    <w:p w:rsidR="00691239" w:rsidRDefault="00691239" w:rsidP="00691239">
      <w:pPr>
        <w:jc w:val="both"/>
        <w:rPr>
          <w:rFonts w:asciiTheme="minorHAnsi" w:hAnsiTheme="minorHAnsi" w:cstheme="minorHAnsi"/>
          <w:sz w:val="20"/>
          <w:szCs w:val="20"/>
        </w:rPr>
      </w:pPr>
      <w:r w:rsidRPr="00691239">
        <w:rPr>
          <w:rFonts w:asciiTheme="minorHAnsi" w:hAnsiTheme="minorHAnsi" w:cstheme="minorHAnsi"/>
          <w:sz w:val="20"/>
          <w:szCs w:val="20"/>
        </w:rPr>
        <w:t>Dénomination ou raison sociale, forme juridique, siège social et adresse postale si celle-ci est différente du siège social, type d’agrément.</w:t>
      </w:r>
    </w:p>
    <w:p w:rsidR="00691239" w:rsidRDefault="00691239" w:rsidP="00691239">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b/>
          <w:bCs/>
          <w:sz w:val="20"/>
          <w:szCs w:val="20"/>
        </w:rPr>
      </w:pPr>
      <w:r w:rsidRPr="00691239">
        <w:rPr>
          <w:rFonts w:asciiTheme="minorHAnsi" w:hAnsiTheme="minorHAnsi" w:cstheme="minorHAnsi"/>
          <w:b/>
          <w:bCs/>
          <w:sz w:val="20"/>
          <w:szCs w:val="20"/>
        </w:rPr>
        <w:lastRenderedPageBreak/>
        <w:t>VI. Faculté de reprise ou d’échange</w:t>
      </w:r>
    </w:p>
    <w:p w:rsidR="00691239" w:rsidRPr="00691239" w:rsidRDefault="00691239" w:rsidP="00691239">
      <w:pPr>
        <w:jc w:val="both"/>
        <w:rPr>
          <w:rFonts w:asciiTheme="minorHAnsi" w:hAnsiTheme="minorHAnsi" w:cstheme="minorHAnsi"/>
          <w:sz w:val="20"/>
          <w:szCs w:val="20"/>
        </w:rPr>
      </w:pPr>
    </w:p>
    <w:p w:rsidR="00691239" w:rsidRPr="00691239" w:rsidRDefault="00691239" w:rsidP="00AF412F">
      <w:pPr>
        <w:numPr>
          <w:ilvl w:val="0"/>
          <w:numId w:val="11"/>
        </w:numPr>
        <w:jc w:val="both"/>
        <w:rPr>
          <w:rFonts w:asciiTheme="minorHAnsi" w:hAnsiTheme="minorHAnsi" w:cstheme="minorHAnsi"/>
          <w:bCs/>
          <w:sz w:val="20"/>
          <w:szCs w:val="20"/>
        </w:rPr>
      </w:pPr>
      <w:r w:rsidRPr="00691239">
        <w:rPr>
          <w:rFonts w:asciiTheme="minorHAnsi" w:hAnsiTheme="minorHAnsi" w:cstheme="minorHAnsi"/>
          <w:bCs/>
          <w:sz w:val="20"/>
          <w:szCs w:val="20"/>
        </w:rPr>
        <w:t>Modalités juridiques de reprise ou d’échange ;</w:t>
      </w:r>
    </w:p>
    <w:p w:rsidR="00691239" w:rsidRPr="00691239" w:rsidRDefault="00691239" w:rsidP="00691239">
      <w:pPr>
        <w:jc w:val="both"/>
        <w:rPr>
          <w:rFonts w:asciiTheme="minorHAnsi" w:hAnsiTheme="minorHAnsi" w:cstheme="minorHAnsi"/>
          <w:bCs/>
          <w:sz w:val="20"/>
          <w:szCs w:val="20"/>
        </w:rPr>
      </w:pPr>
      <w:r w:rsidRPr="00691239">
        <w:rPr>
          <w:rFonts w:asciiTheme="minorHAnsi" w:hAnsiTheme="minorHAnsi" w:cstheme="minorHAnsi"/>
          <w:bCs/>
          <w:sz w:val="20"/>
          <w:szCs w:val="20"/>
        </w:rPr>
        <w:t>Conditions, clauses applicables, procédure de mise en œuvre, délai de mise en œuvre.</w:t>
      </w:r>
    </w:p>
    <w:p w:rsidR="00691239" w:rsidRPr="00691239" w:rsidRDefault="00691239" w:rsidP="00691239">
      <w:pPr>
        <w:jc w:val="both"/>
        <w:rPr>
          <w:rFonts w:asciiTheme="minorHAnsi" w:hAnsiTheme="minorHAnsi" w:cstheme="minorHAnsi"/>
          <w:bCs/>
          <w:sz w:val="20"/>
          <w:szCs w:val="20"/>
        </w:rPr>
      </w:pPr>
    </w:p>
    <w:p w:rsidR="00691239" w:rsidRPr="00691239" w:rsidRDefault="00691239" w:rsidP="00AF412F">
      <w:pPr>
        <w:numPr>
          <w:ilvl w:val="0"/>
          <w:numId w:val="11"/>
        </w:numPr>
        <w:jc w:val="both"/>
        <w:rPr>
          <w:rFonts w:asciiTheme="minorHAnsi" w:hAnsiTheme="minorHAnsi" w:cstheme="minorHAnsi"/>
          <w:bCs/>
          <w:sz w:val="20"/>
          <w:szCs w:val="20"/>
        </w:rPr>
      </w:pPr>
      <w:r w:rsidRPr="00691239">
        <w:rPr>
          <w:rFonts w:asciiTheme="minorHAnsi" w:hAnsiTheme="minorHAnsi" w:cstheme="minorHAnsi"/>
          <w:bCs/>
          <w:sz w:val="20"/>
          <w:szCs w:val="20"/>
        </w:rPr>
        <w:t>Modalités de paiement des biens rachetés</w:t>
      </w:r>
    </w:p>
    <w:p w:rsidR="00691239" w:rsidRPr="00691239" w:rsidRDefault="00691239" w:rsidP="00691239">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b/>
          <w:bCs/>
          <w:sz w:val="20"/>
          <w:szCs w:val="20"/>
        </w:rPr>
      </w:pPr>
      <w:r w:rsidRPr="00691239">
        <w:rPr>
          <w:rFonts w:asciiTheme="minorHAnsi" w:hAnsiTheme="minorHAnsi" w:cstheme="minorHAnsi"/>
          <w:b/>
          <w:bCs/>
          <w:sz w:val="20"/>
          <w:szCs w:val="20"/>
        </w:rPr>
        <w:t>VII. Autres informations</w:t>
      </w:r>
    </w:p>
    <w:p w:rsidR="00691239" w:rsidRPr="00691239" w:rsidRDefault="00691239" w:rsidP="00691239">
      <w:pPr>
        <w:jc w:val="both"/>
        <w:rPr>
          <w:rFonts w:asciiTheme="minorHAnsi" w:hAnsiTheme="minorHAnsi" w:cstheme="minorHAnsi"/>
          <w:b/>
          <w:bCs/>
          <w:sz w:val="20"/>
          <w:szCs w:val="20"/>
        </w:rPr>
      </w:pPr>
    </w:p>
    <w:p w:rsidR="00691239" w:rsidRPr="00691239" w:rsidRDefault="00691239" w:rsidP="00AF412F">
      <w:pPr>
        <w:numPr>
          <w:ilvl w:val="0"/>
          <w:numId w:val="10"/>
        </w:numPr>
        <w:jc w:val="both"/>
        <w:rPr>
          <w:rFonts w:asciiTheme="minorHAnsi" w:hAnsiTheme="minorHAnsi" w:cstheme="minorHAnsi"/>
          <w:bCs/>
          <w:sz w:val="20"/>
          <w:szCs w:val="20"/>
        </w:rPr>
      </w:pPr>
      <w:r w:rsidRPr="00691239">
        <w:rPr>
          <w:rFonts w:asciiTheme="minorHAnsi" w:hAnsiTheme="minorHAnsi" w:cstheme="minorHAnsi"/>
          <w:bCs/>
          <w:sz w:val="20"/>
          <w:szCs w:val="20"/>
        </w:rPr>
        <w:t xml:space="preserve">Indication sur le régime fiscal, si pertinent </w:t>
      </w:r>
    </w:p>
    <w:p w:rsidR="00691239" w:rsidRPr="00691239" w:rsidRDefault="00691239" w:rsidP="00691239">
      <w:pPr>
        <w:jc w:val="both"/>
        <w:rPr>
          <w:rFonts w:asciiTheme="minorHAnsi" w:hAnsiTheme="minorHAnsi" w:cstheme="minorHAnsi"/>
          <w:bCs/>
          <w:sz w:val="20"/>
          <w:szCs w:val="20"/>
        </w:rPr>
      </w:pPr>
    </w:p>
    <w:p w:rsidR="00691239" w:rsidRPr="00691239" w:rsidRDefault="00691239" w:rsidP="00AF412F">
      <w:pPr>
        <w:numPr>
          <w:ilvl w:val="0"/>
          <w:numId w:val="10"/>
        </w:numPr>
        <w:jc w:val="both"/>
        <w:rPr>
          <w:rFonts w:asciiTheme="minorHAnsi" w:hAnsiTheme="minorHAnsi" w:cstheme="minorHAnsi"/>
          <w:bCs/>
          <w:sz w:val="20"/>
          <w:szCs w:val="20"/>
        </w:rPr>
      </w:pPr>
      <w:r w:rsidRPr="00691239">
        <w:rPr>
          <w:rFonts w:asciiTheme="minorHAnsi" w:hAnsiTheme="minorHAnsi" w:cstheme="minorHAnsi"/>
          <w:bCs/>
          <w:sz w:val="20"/>
          <w:szCs w:val="20"/>
        </w:rPr>
        <w:t>Composition du dossier à remettre à l’investisseur : document d’information, contrats.</w:t>
      </w:r>
    </w:p>
    <w:p w:rsidR="00691239" w:rsidRPr="00691239" w:rsidRDefault="00691239" w:rsidP="00691239">
      <w:pPr>
        <w:jc w:val="both"/>
        <w:rPr>
          <w:rFonts w:asciiTheme="minorHAnsi" w:hAnsiTheme="minorHAnsi" w:cstheme="minorHAnsi"/>
          <w:bCs/>
          <w:sz w:val="20"/>
          <w:szCs w:val="20"/>
        </w:rPr>
      </w:pPr>
    </w:p>
    <w:p w:rsidR="00691239" w:rsidRPr="00691239" w:rsidRDefault="00691239" w:rsidP="00AF412F">
      <w:pPr>
        <w:numPr>
          <w:ilvl w:val="0"/>
          <w:numId w:val="10"/>
        </w:numPr>
        <w:jc w:val="both"/>
        <w:rPr>
          <w:rFonts w:asciiTheme="minorHAnsi" w:hAnsiTheme="minorHAnsi" w:cstheme="minorHAnsi"/>
          <w:bCs/>
          <w:sz w:val="20"/>
          <w:szCs w:val="20"/>
        </w:rPr>
      </w:pPr>
      <w:r w:rsidRPr="00691239">
        <w:rPr>
          <w:rFonts w:asciiTheme="minorHAnsi" w:hAnsiTheme="minorHAnsi" w:cstheme="minorHAnsi"/>
          <w:bCs/>
          <w:sz w:val="20"/>
          <w:szCs w:val="20"/>
        </w:rPr>
        <w:t>Personnes assumant la responsabilité du document d’information</w:t>
      </w: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bCs/>
          <w:sz w:val="20"/>
          <w:szCs w:val="20"/>
        </w:rPr>
        <w:t>Signature de</w:t>
      </w:r>
      <w:r w:rsidRPr="00691239">
        <w:rPr>
          <w:rFonts w:asciiTheme="minorHAnsi" w:hAnsiTheme="minorHAnsi" w:cstheme="minorHAnsi"/>
          <w:sz w:val="20"/>
          <w:szCs w:val="20"/>
        </w:rPr>
        <w:t xml:space="preserve"> celui des intermédiaires en biens divers mentionnés au 1° du I et au II de l’article L.551-1 du code monétaire et financier qui prend l’initiative de l’opération.</w:t>
      </w:r>
    </w:p>
    <w:p w:rsidR="00691239" w:rsidRPr="00691239" w:rsidRDefault="00691239" w:rsidP="00691239">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sz w:val="20"/>
          <w:szCs w:val="20"/>
        </w:rPr>
      </w:pPr>
      <w:r w:rsidRPr="00691239">
        <w:rPr>
          <w:rFonts w:asciiTheme="minorHAnsi" w:hAnsiTheme="minorHAnsi" w:cstheme="minorHAnsi"/>
          <w:sz w:val="20"/>
          <w:szCs w:val="20"/>
        </w:rPr>
        <w:t>Ajout de la mention « Les données du présent document sont conformes à la réalité, et ne comportent pas d’omission de nature à en altérer la portée ».</w:t>
      </w:r>
    </w:p>
    <w:p w:rsidR="00691239" w:rsidRPr="00691239" w:rsidRDefault="00691239" w:rsidP="00691239">
      <w:pPr>
        <w:jc w:val="both"/>
        <w:rPr>
          <w:rFonts w:asciiTheme="minorHAnsi" w:hAnsiTheme="minorHAnsi" w:cstheme="minorHAnsi"/>
          <w:sz w:val="20"/>
          <w:szCs w:val="20"/>
        </w:rPr>
      </w:pPr>
    </w:p>
    <w:p w:rsidR="00691239" w:rsidRPr="00691239" w:rsidRDefault="00691239" w:rsidP="00691239">
      <w:pPr>
        <w:jc w:val="both"/>
        <w:rPr>
          <w:rFonts w:asciiTheme="minorHAnsi" w:hAnsiTheme="minorHAnsi" w:cstheme="minorHAnsi"/>
          <w:bCs/>
          <w:sz w:val="20"/>
          <w:szCs w:val="20"/>
        </w:rPr>
      </w:pPr>
      <w:r w:rsidRPr="00691239">
        <w:rPr>
          <w:rFonts w:asciiTheme="minorHAnsi" w:hAnsiTheme="minorHAnsi" w:cstheme="minorHAnsi"/>
          <w:sz w:val="20"/>
          <w:szCs w:val="20"/>
        </w:rPr>
        <w:t>Ajout du nom, de l’adresse, du numéro de téléphone et du courriel de la personne auprès de laquelle les investisseurs peuvent recueillir tout renseignement souhaité.</w:t>
      </w:r>
    </w:p>
    <w:p w:rsidR="00124F70" w:rsidRDefault="00124F70" w:rsidP="00A27088">
      <w:pPr>
        <w:jc w:val="both"/>
        <w:rPr>
          <w:rFonts w:asciiTheme="minorHAnsi" w:hAnsiTheme="minorHAnsi" w:cstheme="minorHAnsi"/>
          <w:sz w:val="20"/>
          <w:szCs w:val="20"/>
        </w:rPr>
      </w:pPr>
    </w:p>
    <w:p w:rsidR="00691239" w:rsidRDefault="00691239" w:rsidP="00A27088">
      <w:pPr>
        <w:jc w:val="both"/>
        <w:rPr>
          <w:rFonts w:asciiTheme="minorHAnsi" w:hAnsiTheme="minorHAnsi" w:cstheme="minorHAnsi"/>
          <w:sz w:val="20"/>
          <w:szCs w:val="20"/>
        </w:rPr>
      </w:pPr>
    </w:p>
    <w:p w:rsidR="00691239" w:rsidRDefault="00691239" w:rsidP="00A27088">
      <w:pPr>
        <w:jc w:val="both"/>
        <w:rPr>
          <w:rFonts w:asciiTheme="minorHAnsi" w:hAnsiTheme="minorHAnsi" w:cstheme="minorHAnsi"/>
          <w:sz w:val="20"/>
          <w:szCs w:val="20"/>
        </w:rPr>
      </w:pPr>
    </w:p>
    <w:p w:rsidR="00691239" w:rsidRDefault="00691239"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bookmarkStart w:id="0" w:name="_GoBack"/>
      <w:bookmarkEnd w:id="0"/>
    </w:p>
    <w:p w:rsidR="00124F70" w:rsidRDefault="00124F7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124F70" w:rsidRDefault="00124F70" w:rsidP="00A27088">
      <w:pPr>
        <w:jc w:val="both"/>
        <w:rPr>
          <w:rFonts w:asciiTheme="minorHAnsi" w:hAnsiTheme="minorHAnsi" w:cstheme="minorHAnsi"/>
          <w:sz w:val="20"/>
          <w:szCs w:val="20"/>
        </w:rPr>
      </w:pPr>
    </w:p>
    <w:p w:rsidR="00124F70" w:rsidRPr="00A27088" w:rsidRDefault="00124F70"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p w:rsidR="00922AD8" w:rsidRPr="00A27088" w:rsidRDefault="00922AD8" w:rsidP="00A27088">
      <w:pPr>
        <w:jc w:val="both"/>
        <w:rPr>
          <w:rFonts w:asciiTheme="minorHAnsi" w:hAnsiTheme="minorHAnsi" w:cstheme="minorHAnsi"/>
          <w:sz w:val="20"/>
          <w:szCs w:val="20"/>
        </w:rPr>
      </w:pPr>
    </w:p>
    <w:sectPr w:rsidR="00922AD8" w:rsidRPr="00A27088"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2F" w:rsidRDefault="00AF412F">
      <w:r>
        <w:separator/>
      </w:r>
    </w:p>
  </w:endnote>
  <w:endnote w:type="continuationSeparator" w:id="0">
    <w:p w:rsidR="00AF412F" w:rsidRDefault="00AF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91239">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91239">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91239">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91239">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2F" w:rsidRDefault="00AF412F">
      <w:r>
        <w:separator/>
      </w:r>
    </w:p>
  </w:footnote>
  <w:footnote w:type="continuationSeparator" w:id="0">
    <w:p w:rsidR="00AF412F" w:rsidRDefault="00AF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124F70">
    <w:pPr>
      <w:pStyle w:val="En-tte"/>
      <w:rPr>
        <w:rFonts w:asciiTheme="minorHAnsi" w:hAnsiTheme="minorHAnsi" w:cstheme="minorHAnsi"/>
        <w:sz w:val="18"/>
        <w:szCs w:val="18"/>
      </w:rPr>
    </w:pPr>
    <w:r w:rsidRPr="00124F70">
      <w:rPr>
        <w:rFonts w:asciiTheme="minorHAnsi" w:hAnsiTheme="minorHAnsi" w:cstheme="minorHAnsi"/>
        <w:sz w:val="18"/>
        <w:szCs w:val="18"/>
      </w:rPr>
      <w:t>Plan-type de la note d’information</w:t>
    </w:r>
    <w:r w:rsidR="00236477" w:rsidRPr="00236477">
      <w:rPr>
        <w:rFonts w:asciiTheme="minorHAnsi" w:hAnsiTheme="minorHAnsi" w:cstheme="minorHAnsi"/>
        <w:sz w:val="18"/>
        <w:szCs w:val="18"/>
      </w:rPr>
      <w:t xml:space="preserve"> </w:t>
    </w:r>
    <w:r w:rsidR="00236477">
      <w:rPr>
        <w:rFonts w:asciiTheme="minorHAnsi" w:hAnsiTheme="minorHAnsi" w:cstheme="minorHAnsi"/>
        <w:sz w:val="18"/>
        <w:szCs w:val="18"/>
      </w:rPr>
      <w:t xml:space="preserve">- </w:t>
    </w:r>
    <w:r w:rsidR="00A27088">
      <w:rPr>
        <w:rFonts w:asciiTheme="minorHAnsi" w:hAnsiTheme="minorHAnsi" w:cstheme="minorHAnsi"/>
        <w:sz w:val="18"/>
        <w:szCs w:val="18"/>
      </w:rPr>
      <w:t xml:space="preserve">Annexe II de l’instruction AMF </w:t>
    </w:r>
    <w:r w:rsidR="00922AD8" w:rsidRPr="00922AD8">
      <w:rPr>
        <w:rFonts w:asciiTheme="minorHAnsi" w:hAnsiTheme="minorHAnsi" w:cstheme="minorHAnsi"/>
        <w:sz w:val="18"/>
        <w:szCs w:val="18"/>
      </w:rPr>
      <w:t xml:space="preserve">- </w:t>
    </w:r>
    <w:r w:rsidR="00A27088" w:rsidRPr="00A27088">
      <w:rPr>
        <w:rFonts w:asciiTheme="minorHAnsi" w:hAnsiTheme="minorHAnsi" w:cstheme="minorHAnsi"/>
        <w:sz w:val="18"/>
        <w:szCs w:val="18"/>
      </w:rPr>
      <w:t>DOC-201</w:t>
    </w:r>
    <w:r>
      <w:rPr>
        <w:rFonts w:asciiTheme="minorHAnsi" w:hAnsiTheme="minorHAnsi" w:cstheme="minorHAnsi"/>
        <w:sz w:val="18"/>
        <w:szCs w:val="18"/>
      </w:rPr>
      <w:t>7</w:t>
    </w:r>
    <w:r w:rsidR="00A27088" w:rsidRPr="00A27088">
      <w:rPr>
        <w:rFonts w:asciiTheme="minorHAnsi" w:hAnsiTheme="minorHAnsi" w:cstheme="minorHAnsi"/>
        <w:sz w:val="18"/>
        <w:szCs w:val="18"/>
      </w:rPr>
      <w:t>-</w:t>
    </w:r>
    <w:r>
      <w:rPr>
        <w:rFonts w:asciiTheme="minorHAnsi" w:hAnsiTheme="minorHAnsi" w:cstheme="minorHAnsi"/>
        <w:sz w:val="18"/>
        <w:szCs w:val="18"/>
      </w:rPr>
      <w:t>06</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8.25pt;height:28.25pt" o:bullet="t">
        <v:imagedata r:id="rId1" o:title="Flêche_AMF_blc"/>
      </v:shape>
    </w:pict>
  </w:numPicBullet>
  <w:abstractNum w:abstractNumId="0" w15:restartNumberingAfterBreak="0">
    <w:nsid w:val="022E5170"/>
    <w:multiLevelType w:val="hybridMultilevel"/>
    <w:tmpl w:val="BBC298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955285"/>
    <w:multiLevelType w:val="hybridMultilevel"/>
    <w:tmpl w:val="F264AD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2E71C3"/>
    <w:multiLevelType w:val="hybridMultilevel"/>
    <w:tmpl w:val="6436E1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79E57F0"/>
    <w:multiLevelType w:val="hybridMultilevel"/>
    <w:tmpl w:val="1FF08F7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3AF62AF0"/>
    <w:multiLevelType w:val="hybridMultilevel"/>
    <w:tmpl w:val="01A212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DF54232"/>
    <w:multiLevelType w:val="hybridMultilevel"/>
    <w:tmpl w:val="48845BCA"/>
    <w:lvl w:ilvl="0" w:tplc="C370272C">
      <w:start w:val="1"/>
      <w:numFmt w:val="bullet"/>
      <w:pStyle w:val="AMFPucegrise"/>
      <w:lvlText w:val=""/>
      <w:lvlJc w:val="left"/>
      <w:pPr>
        <w:ind w:left="-132" w:hanging="360"/>
      </w:pPr>
      <w:rPr>
        <w:rFonts w:ascii="Wingdings" w:hAnsi="Wingdings" w:hint="default"/>
        <w:color w:val="0070C0"/>
        <w:sz w:val="20"/>
        <w:szCs w:val="28"/>
      </w:rPr>
    </w:lvl>
    <w:lvl w:ilvl="1" w:tplc="040C0003" w:tentative="1">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7"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5B353AF"/>
    <w:multiLevelType w:val="hybridMultilevel"/>
    <w:tmpl w:val="2F2640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426315"/>
    <w:multiLevelType w:val="hybridMultilevel"/>
    <w:tmpl w:val="FF506A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9"/>
  </w:num>
  <w:num w:numId="5">
    <w:abstractNumId w:val="5"/>
  </w:num>
  <w:num w:numId="6">
    <w:abstractNumId w:val="4"/>
  </w:num>
  <w:num w:numId="7">
    <w:abstractNumId w:val="2"/>
  </w:num>
  <w:num w:numId="8">
    <w:abstractNumId w:val="8"/>
  </w:num>
  <w:num w:numId="9">
    <w:abstractNumId w:val="0"/>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590E"/>
    <w:rsid w:val="000767FD"/>
    <w:rsid w:val="00081395"/>
    <w:rsid w:val="000B7F59"/>
    <w:rsid w:val="000F3F43"/>
    <w:rsid w:val="00105E07"/>
    <w:rsid w:val="00124F70"/>
    <w:rsid w:val="0013025C"/>
    <w:rsid w:val="00133FF8"/>
    <w:rsid w:val="001670B2"/>
    <w:rsid w:val="0023233D"/>
    <w:rsid w:val="00236477"/>
    <w:rsid w:val="002434A6"/>
    <w:rsid w:val="002847F6"/>
    <w:rsid w:val="002F705A"/>
    <w:rsid w:val="00365120"/>
    <w:rsid w:val="00385E38"/>
    <w:rsid w:val="003B0015"/>
    <w:rsid w:val="00460571"/>
    <w:rsid w:val="005009B5"/>
    <w:rsid w:val="00511597"/>
    <w:rsid w:val="00524309"/>
    <w:rsid w:val="00593EDE"/>
    <w:rsid w:val="005C1100"/>
    <w:rsid w:val="005C6282"/>
    <w:rsid w:val="0066464A"/>
    <w:rsid w:val="00684FDF"/>
    <w:rsid w:val="00691239"/>
    <w:rsid w:val="006C4987"/>
    <w:rsid w:val="006E6631"/>
    <w:rsid w:val="007211C5"/>
    <w:rsid w:val="0075127A"/>
    <w:rsid w:val="007759C7"/>
    <w:rsid w:val="007C2CD0"/>
    <w:rsid w:val="00826BA0"/>
    <w:rsid w:val="00835FC9"/>
    <w:rsid w:val="008A64B6"/>
    <w:rsid w:val="008B0776"/>
    <w:rsid w:val="008B2E32"/>
    <w:rsid w:val="00922AD8"/>
    <w:rsid w:val="009522A4"/>
    <w:rsid w:val="0097706F"/>
    <w:rsid w:val="009D35DA"/>
    <w:rsid w:val="009F5CB0"/>
    <w:rsid w:val="00A21A72"/>
    <w:rsid w:val="00A27088"/>
    <w:rsid w:val="00A344AD"/>
    <w:rsid w:val="00A375FC"/>
    <w:rsid w:val="00A52761"/>
    <w:rsid w:val="00AC2B18"/>
    <w:rsid w:val="00AF412F"/>
    <w:rsid w:val="00AF529B"/>
    <w:rsid w:val="00B15F18"/>
    <w:rsid w:val="00C109BF"/>
    <w:rsid w:val="00C96044"/>
    <w:rsid w:val="00D52CFD"/>
    <w:rsid w:val="00D55321"/>
    <w:rsid w:val="00D80A91"/>
    <w:rsid w:val="00DA5393"/>
    <w:rsid w:val="00DD3668"/>
    <w:rsid w:val="00E049BB"/>
    <w:rsid w:val="00E1204F"/>
    <w:rsid w:val="00E46668"/>
    <w:rsid w:val="00E66D10"/>
    <w:rsid w:val="00E74AAB"/>
    <w:rsid w:val="00E91345"/>
    <w:rsid w:val="00F53773"/>
    <w:rsid w:val="00FD25A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461C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4"/>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styleId="Commentaire">
    <w:name w:val="annotation text"/>
    <w:basedOn w:val="Normal"/>
    <w:link w:val="CommentaireCar"/>
    <w:rsid w:val="00A27088"/>
    <w:pPr>
      <w:jc w:val="both"/>
    </w:pPr>
    <w:rPr>
      <w:rFonts w:ascii="Arial" w:eastAsia="Times" w:hAnsi="Arial"/>
      <w:sz w:val="20"/>
      <w:szCs w:val="20"/>
    </w:rPr>
  </w:style>
  <w:style w:type="character" w:customStyle="1" w:styleId="CommentaireCar">
    <w:name w:val="Commentaire Car"/>
    <w:basedOn w:val="Policepardfaut"/>
    <w:link w:val="Commentaire"/>
    <w:rsid w:val="00A27088"/>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F366-42A1-4F8C-A140-388161CB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1676</Words>
  <Characters>9223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11</cp:revision>
  <cp:lastPrinted>2010-11-05T13:58:00Z</cp:lastPrinted>
  <dcterms:created xsi:type="dcterms:W3CDTF">2020-03-10T14:18:00Z</dcterms:created>
  <dcterms:modified xsi:type="dcterms:W3CDTF">2020-03-10T14:34:00Z</dcterms:modified>
</cp:coreProperties>
</file>