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923EB0"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6527507</wp:posOffset>
                </wp:positionH>
                <wp:positionV relativeFrom="paragraph">
                  <wp:posOffset>-32678</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0A814" id="Cadre 4" o:spid="_x0000_s1026" style="position:absolute;margin-left:514pt;margin-top:-2.5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Pr>
          <w:noProof/>
        </w:rPr>
        <w:drawing>
          <wp:anchor distT="0" distB="0" distL="114300" distR="114300" simplePos="0" relativeHeight="251663360" behindDoc="1" locked="0" layoutInCell="1" allowOverlap="1" wp14:anchorId="5C390D39" wp14:editId="13BD3D9E">
            <wp:simplePos x="0" y="0"/>
            <wp:positionH relativeFrom="page">
              <wp:align>right</wp:align>
            </wp:positionH>
            <wp:positionV relativeFrom="paragraph">
              <wp:posOffset>-1429922</wp:posOffset>
            </wp:positionV>
            <wp:extent cx="10628141" cy="2250440"/>
            <wp:effectExtent l="0" t="0" r="190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8141" cy="2250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706F" w:rsidRPr="00A27088" w:rsidRDefault="00E1204F" w:rsidP="00061209">
      <w:pPr>
        <w:pStyle w:val="AMFTitre"/>
        <w:ind w:left="0"/>
        <w:rPr>
          <w:sz w:val="24"/>
          <w:szCs w:val="24"/>
        </w:rPr>
      </w:pPr>
      <w:r w:rsidRPr="00A27088">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6885696</wp:posOffset>
                </wp:positionH>
                <wp:positionV relativeFrom="paragraph">
                  <wp:posOffset>229431</wp:posOffset>
                </wp:positionV>
                <wp:extent cx="161290" cy="167005"/>
                <wp:effectExtent l="0" t="0" r="0" b="4445"/>
                <wp:wrapThrough wrapText="bothSides">
                  <wp:wrapPolygon edited="0">
                    <wp:start x="0" y="0"/>
                    <wp:lineTo x="0" y="19711"/>
                    <wp:lineTo x="17858" y="19711"/>
                    <wp:lineTo x="17858"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1290" cy="16700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EC2FF" id="Cadre 5" o:spid="_x0000_s1026" style="position:absolute;margin-left:542.2pt;margin-top:18.05pt;width:12.7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29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" path="m,l161290,r,167005l,167005,,xm26745,26745r,113515l134545,140260r,-113515l26745,26745xe" fillcolor="#e01b33" stroked="f">
                <v:path arrowok="t" o:connecttype="custom" o:connectlocs="0,0;161290,0;161290,167005;0,167005;0,0;26745,26745;26745,140260;134545,140260;134545,26745;26745,26745" o:connectangles="0,0,0,0,0,0,0,0,0,0"/>
                <o:lock v:ext="edit" aspectratio="t"/>
                <w10:wrap type="through"/>
              </v:shape>
            </w:pict>
          </mc:Fallback>
        </mc:AlternateContent>
      </w:r>
      <w:r w:rsidR="00E81007">
        <w:rPr>
          <w:sz w:val="24"/>
          <w:szCs w:val="24"/>
        </w:rPr>
        <w:t>SYNTHESE DES OBLIGATIONS DE CHACUN DES INTERMEDIAIRES EN BIEN DIVERS</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E81007" w:rsidRDefault="00E81007" w:rsidP="00A27088">
      <w:pPr>
        <w:pStyle w:val="AMFDate"/>
        <w:ind w:left="0"/>
        <w:jc w:val="both"/>
        <w:rPr>
          <w:rFonts w:asciiTheme="minorHAnsi" w:hAnsiTheme="minorHAnsi" w:cstheme="minorHAnsi"/>
          <w:iCs/>
          <w:szCs w:val="20"/>
        </w:rPr>
      </w:pPr>
    </w:p>
    <w:p w:rsidR="00E81007" w:rsidRDefault="00E81007" w:rsidP="00A27088">
      <w:pPr>
        <w:pStyle w:val="AMFDate"/>
        <w:ind w:left="0"/>
        <w:jc w:val="both"/>
        <w:rPr>
          <w:rFonts w:asciiTheme="minorHAnsi" w:hAnsiTheme="minorHAnsi" w:cstheme="minorHAnsi"/>
          <w:iCs/>
          <w:szCs w:val="20"/>
        </w:rPr>
      </w:pPr>
    </w:p>
    <w:p w:rsidR="00684FDF" w:rsidRPr="00A27088" w:rsidRDefault="00A27088" w:rsidP="00A27088">
      <w:pPr>
        <w:pStyle w:val="AMFDate"/>
        <w:ind w:left="0"/>
        <w:jc w:val="both"/>
        <w:rPr>
          <w:rFonts w:asciiTheme="minorHAnsi" w:hAnsiTheme="minorHAnsi" w:cstheme="minorHAnsi"/>
          <w:szCs w:val="20"/>
        </w:rPr>
      </w:pPr>
      <w:r w:rsidRPr="00A27088">
        <w:rPr>
          <w:rFonts w:asciiTheme="minorHAnsi" w:hAnsiTheme="minorHAnsi" w:cstheme="minorHAnsi"/>
          <w:iCs/>
          <w:szCs w:val="20"/>
        </w:rPr>
        <w:t>Ce document constitue l’annexe I</w:t>
      </w:r>
      <w:r w:rsidR="00E81007">
        <w:rPr>
          <w:rFonts w:asciiTheme="minorHAnsi" w:hAnsiTheme="minorHAnsi" w:cstheme="minorHAnsi"/>
          <w:iCs/>
          <w:szCs w:val="20"/>
        </w:rPr>
        <w:t>I</w:t>
      </w:r>
      <w:r w:rsidRPr="00A27088">
        <w:rPr>
          <w:rFonts w:asciiTheme="minorHAnsi" w:hAnsiTheme="minorHAnsi" w:cstheme="minorHAnsi"/>
          <w:iCs/>
          <w:szCs w:val="20"/>
        </w:rPr>
        <w:t>I</w:t>
      </w:r>
      <w:r>
        <w:rPr>
          <w:rFonts w:asciiTheme="minorHAnsi" w:hAnsiTheme="minorHAnsi" w:cstheme="minorHAnsi"/>
          <w:iCs/>
          <w:szCs w:val="20"/>
        </w:rPr>
        <w:t xml:space="preserve"> de l’instruction AMF </w:t>
      </w:r>
      <w:r w:rsidRPr="00A27088">
        <w:rPr>
          <w:rFonts w:asciiTheme="minorHAnsi" w:hAnsiTheme="minorHAnsi" w:cstheme="minorHAnsi"/>
          <w:szCs w:val="20"/>
        </w:rPr>
        <w:t xml:space="preserve">- </w:t>
      </w:r>
      <w:r w:rsidR="009D11C4" w:rsidRPr="009D11C4">
        <w:rPr>
          <w:rFonts w:asciiTheme="minorHAnsi" w:hAnsiTheme="minorHAnsi" w:cstheme="minorHAnsi"/>
          <w:szCs w:val="20"/>
        </w:rPr>
        <w:t>Procédures d’enregistrement et établissement d’un document d’information devant être déposé auprès de l’AMF par les intermédiaires en biens divers</w:t>
      </w:r>
      <w:r>
        <w:rPr>
          <w:rFonts w:asciiTheme="minorHAnsi" w:hAnsiTheme="minorHAnsi" w:cstheme="minorHAnsi"/>
          <w:szCs w:val="20"/>
        </w:rPr>
        <w:t xml:space="preserve"> – DOC-201</w:t>
      </w:r>
      <w:r w:rsidR="00E81007">
        <w:rPr>
          <w:rFonts w:asciiTheme="minorHAnsi" w:hAnsiTheme="minorHAnsi" w:cstheme="minorHAnsi"/>
          <w:szCs w:val="20"/>
        </w:rPr>
        <w:t>7</w:t>
      </w:r>
      <w:r>
        <w:rPr>
          <w:rFonts w:asciiTheme="minorHAnsi" w:hAnsiTheme="minorHAnsi" w:cstheme="minorHAnsi"/>
          <w:szCs w:val="20"/>
        </w:rPr>
        <w:t>-</w:t>
      </w:r>
      <w:r w:rsidR="00E81007">
        <w:rPr>
          <w:rFonts w:asciiTheme="minorHAnsi" w:hAnsiTheme="minorHAnsi" w:cstheme="minorHAnsi"/>
          <w:szCs w:val="20"/>
        </w:rPr>
        <w:t>06</w:t>
      </w:r>
    </w:p>
    <w:p w:rsidR="00684FDF" w:rsidRDefault="00684FDF" w:rsidP="00684FDF">
      <w:pPr>
        <w:pStyle w:val="AMFDate"/>
        <w:ind w:left="0"/>
        <w:jc w:val="left"/>
        <w:rPr>
          <w:rFonts w:asciiTheme="minorHAnsi" w:hAnsiTheme="minorHAnsi" w:cstheme="minorHAnsi"/>
        </w:rPr>
      </w:pPr>
    </w:p>
    <w:p w:rsidR="00922AD8" w:rsidRPr="00A27088" w:rsidRDefault="00922AD8" w:rsidP="00A27088">
      <w:pPr>
        <w:jc w:val="both"/>
        <w:rPr>
          <w:rFonts w:asciiTheme="minorHAnsi" w:hAnsiTheme="minorHAnsi" w:cstheme="minorHAnsi"/>
          <w:sz w:val="20"/>
          <w:szCs w:val="20"/>
        </w:rPr>
      </w:pPr>
    </w:p>
    <w:p w:rsidR="00922AD8" w:rsidRDefault="00922AD8" w:rsidP="00A27088">
      <w:pPr>
        <w:jc w:val="both"/>
        <w:rPr>
          <w:rFonts w:asciiTheme="minorHAnsi" w:hAnsiTheme="minorHAnsi" w:cstheme="minorHAnsi"/>
          <w:sz w:val="20"/>
          <w:szCs w:val="20"/>
        </w:rPr>
      </w:pPr>
    </w:p>
    <w:tbl>
      <w:tblPr>
        <w:tblStyle w:val="Grilledutableau1"/>
        <w:tblW w:w="13567" w:type="dxa"/>
        <w:tblInd w:w="575" w:type="dxa"/>
        <w:tblLayout w:type="fixed"/>
        <w:tblLook w:val="04A0" w:firstRow="1" w:lastRow="0" w:firstColumn="1" w:lastColumn="0" w:noHBand="0" w:noVBand="1"/>
      </w:tblPr>
      <w:tblGrid>
        <w:gridCol w:w="1809"/>
        <w:gridCol w:w="1134"/>
        <w:gridCol w:w="1418"/>
        <w:gridCol w:w="1276"/>
        <w:gridCol w:w="1417"/>
        <w:gridCol w:w="1843"/>
        <w:gridCol w:w="1559"/>
        <w:gridCol w:w="3111"/>
      </w:tblGrid>
      <w:tr w:rsidR="00415A01" w:rsidRPr="00415A01" w:rsidTr="00415A01">
        <w:trPr>
          <w:trHeight w:val="1687"/>
          <w:tblHeader/>
        </w:trPr>
        <w:tc>
          <w:tcPr>
            <w:tcW w:w="1809" w:type="dxa"/>
            <w:shd w:val="clear" w:color="auto" w:fill="808080"/>
          </w:tcPr>
          <w:p w:rsidR="00415A01" w:rsidRPr="00415A01" w:rsidRDefault="00415A01" w:rsidP="00415A01">
            <w:pPr>
              <w:overflowPunct w:val="0"/>
              <w:autoSpaceDE w:val="0"/>
              <w:autoSpaceDN w:val="0"/>
              <w:adjustRightInd w:val="0"/>
              <w:jc w:val="center"/>
              <w:textAlignment w:val="baseline"/>
              <w:rPr>
                <w:rFonts w:asciiTheme="minorHAnsi" w:hAnsiTheme="minorHAnsi" w:cstheme="minorHAnsi"/>
                <w:b/>
                <w:sz w:val="16"/>
                <w:szCs w:val="16"/>
              </w:rPr>
            </w:pPr>
            <w:r w:rsidRPr="00415A01">
              <w:rPr>
                <w:rFonts w:asciiTheme="minorHAnsi" w:hAnsiTheme="minorHAnsi" w:cstheme="minorHAnsi"/>
                <w:b/>
                <w:sz w:val="16"/>
                <w:szCs w:val="16"/>
              </w:rPr>
              <w:t>Obligation visée</w:t>
            </w:r>
          </w:p>
        </w:tc>
        <w:tc>
          <w:tcPr>
            <w:tcW w:w="1134" w:type="dxa"/>
            <w:shd w:val="clear" w:color="auto" w:fill="808080"/>
          </w:tcPr>
          <w:p w:rsidR="00415A01" w:rsidRPr="00415A01" w:rsidRDefault="00415A01" w:rsidP="00415A01">
            <w:pPr>
              <w:overflowPunct w:val="0"/>
              <w:autoSpaceDE w:val="0"/>
              <w:autoSpaceDN w:val="0"/>
              <w:adjustRightInd w:val="0"/>
              <w:jc w:val="center"/>
              <w:textAlignment w:val="baseline"/>
              <w:rPr>
                <w:rFonts w:asciiTheme="minorHAnsi" w:hAnsiTheme="minorHAnsi" w:cstheme="minorHAnsi"/>
                <w:b/>
                <w:sz w:val="16"/>
                <w:szCs w:val="16"/>
              </w:rPr>
            </w:pPr>
            <w:r w:rsidRPr="00415A01">
              <w:rPr>
                <w:rFonts w:asciiTheme="minorHAnsi" w:hAnsiTheme="minorHAnsi" w:cstheme="minorHAnsi"/>
                <w:b/>
                <w:sz w:val="16"/>
                <w:szCs w:val="16"/>
              </w:rPr>
              <w:t xml:space="preserve">Intermédiaire en biens divers visé à l’article L.551-1 I 1° du code monétaire et financier autre que celui à l’initiative de l’opération </w:t>
            </w:r>
          </w:p>
        </w:tc>
        <w:tc>
          <w:tcPr>
            <w:tcW w:w="1418" w:type="dxa"/>
            <w:shd w:val="clear" w:color="auto" w:fill="808080"/>
          </w:tcPr>
          <w:p w:rsidR="00415A01" w:rsidRPr="00415A01" w:rsidRDefault="00415A01" w:rsidP="00415A01">
            <w:pPr>
              <w:overflowPunct w:val="0"/>
              <w:autoSpaceDE w:val="0"/>
              <w:autoSpaceDN w:val="0"/>
              <w:adjustRightInd w:val="0"/>
              <w:jc w:val="center"/>
              <w:textAlignment w:val="baseline"/>
              <w:rPr>
                <w:rFonts w:asciiTheme="minorHAnsi" w:hAnsiTheme="minorHAnsi" w:cstheme="minorHAnsi"/>
                <w:b/>
                <w:sz w:val="16"/>
                <w:szCs w:val="16"/>
              </w:rPr>
            </w:pPr>
            <w:r w:rsidRPr="00415A01">
              <w:rPr>
                <w:rFonts w:asciiTheme="minorHAnsi" w:hAnsiTheme="minorHAnsi" w:cstheme="minorHAnsi"/>
                <w:b/>
                <w:sz w:val="16"/>
                <w:szCs w:val="16"/>
              </w:rPr>
              <w:t>Intermédiaire en biens divers qui prend l’initiative de l’opération visé à l’article L.551-1 I 1° du code monétaire et financier</w:t>
            </w:r>
          </w:p>
        </w:tc>
        <w:tc>
          <w:tcPr>
            <w:tcW w:w="1276" w:type="dxa"/>
            <w:shd w:val="clear" w:color="auto" w:fill="808080"/>
          </w:tcPr>
          <w:p w:rsidR="00415A01" w:rsidRPr="00415A01" w:rsidRDefault="00415A01" w:rsidP="00415A01">
            <w:pPr>
              <w:overflowPunct w:val="0"/>
              <w:autoSpaceDE w:val="0"/>
              <w:autoSpaceDN w:val="0"/>
              <w:adjustRightInd w:val="0"/>
              <w:jc w:val="center"/>
              <w:textAlignment w:val="baseline"/>
              <w:rPr>
                <w:rFonts w:asciiTheme="minorHAnsi" w:hAnsiTheme="minorHAnsi" w:cstheme="minorHAnsi"/>
                <w:b/>
                <w:sz w:val="16"/>
                <w:szCs w:val="16"/>
              </w:rPr>
            </w:pPr>
            <w:r w:rsidRPr="00415A01">
              <w:rPr>
                <w:rFonts w:asciiTheme="minorHAnsi" w:hAnsiTheme="minorHAnsi" w:cstheme="minorHAnsi"/>
                <w:b/>
                <w:sz w:val="16"/>
                <w:szCs w:val="16"/>
              </w:rPr>
              <w:t>Intermédiaire en biens divers visé à l’article L. 551-1 I 2° du code monétaire et financier</w:t>
            </w:r>
          </w:p>
        </w:tc>
        <w:tc>
          <w:tcPr>
            <w:tcW w:w="1417" w:type="dxa"/>
            <w:shd w:val="clear" w:color="auto" w:fill="808080"/>
          </w:tcPr>
          <w:p w:rsidR="00415A01" w:rsidRPr="00415A01" w:rsidRDefault="00415A01" w:rsidP="00415A01">
            <w:pPr>
              <w:overflowPunct w:val="0"/>
              <w:autoSpaceDE w:val="0"/>
              <w:autoSpaceDN w:val="0"/>
              <w:adjustRightInd w:val="0"/>
              <w:jc w:val="center"/>
              <w:textAlignment w:val="baseline"/>
              <w:rPr>
                <w:rFonts w:asciiTheme="minorHAnsi" w:hAnsiTheme="minorHAnsi" w:cstheme="minorHAnsi"/>
                <w:b/>
                <w:sz w:val="16"/>
                <w:szCs w:val="16"/>
              </w:rPr>
            </w:pPr>
            <w:r w:rsidRPr="00415A01">
              <w:rPr>
                <w:rFonts w:asciiTheme="minorHAnsi" w:hAnsiTheme="minorHAnsi" w:cstheme="minorHAnsi"/>
                <w:b/>
                <w:sz w:val="16"/>
                <w:szCs w:val="16"/>
              </w:rPr>
              <w:t>Intermédiaire en biens divers visé à l’article L. 551- 1 I 3° du code monétaire et financier</w:t>
            </w:r>
          </w:p>
        </w:tc>
        <w:tc>
          <w:tcPr>
            <w:tcW w:w="1843" w:type="dxa"/>
            <w:shd w:val="clear" w:color="auto" w:fill="808080"/>
          </w:tcPr>
          <w:p w:rsidR="00415A01" w:rsidRPr="00415A01" w:rsidRDefault="00415A01" w:rsidP="00415A01">
            <w:pPr>
              <w:overflowPunct w:val="0"/>
              <w:autoSpaceDE w:val="0"/>
              <w:autoSpaceDN w:val="0"/>
              <w:adjustRightInd w:val="0"/>
              <w:jc w:val="center"/>
              <w:textAlignment w:val="baseline"/>
              <w:rPr>
                <w:rFonts w:asciiTheme="minorHAnsi" w:hAnsiTheme="minorHAnsi" w:cstheme="minorHAnsi"/>
                <w:b/>
                <w:sz w:val="16"/>
                <w:szCs w:val="16"/>
              </w:rPr>
            </w:pPr>
            <w:r w:rsidRPr="00415A01">
              <w:rPr>
                <w:rFonts w:asciiTheme="minorHAnsi" w:hAnsiTheme="minorHAnsi" w:cstheme="minorHAnsi"/>
                <w:b/>
                <w:sz w:val="16"/>
                <w:szCs w:val="16"/>
              </w:rPr>
              <w:t>Intermédiaire en biens divers qui prend l’initiative de l’opération visé à l’article L. 551-1 II du code monétaire et financier</w:t>
            </w:r>
          </w:p>
        </w:tc>
        <w:tc>
          <w:tcPr>
            <w:tcW w:w="1559" w:type="dxa"/>
            <w:shd w:val="clear" w:color="auto" w:fill="808080"/>
          </w:tcPr>
          <w:p w:rsidR="00415A01" w:rsidRPr="00415A01" w:rsidRDefault="00415A01" w:rsidP="00415A01">
            <w:pPr>
              <w:overflowPunct w:val="0"/>
              <w:autoSpaceDE w:val="0"/>
              <w:autoSpaceDN w:val="0"/>
              <w:adjustRightInd w:val="0"/>
              <w:jc w:val="center"/>
              <w:textAlignment w:val="baseline"/>
              <w:rPr>
                <w:rFonts w:asciiTheme="minorHAnsi" w:hAnsiTheme="minorHAnsi" w:cstheme="minorHAnsi"/>
                <w:b/>
                <w:sz w:val="16"/>
                <w:szCs w:val="16"/>
              </w:rPr>
            </w:pPr>
            <w:r w:rsidRPr="00415A01">
              <w:rPr>
                <w:rFonts w:asciiTheme="minorHAnsi" w:hAnsiTheme="minorHAnsi" w:cstheme="minorHAnsi"/>
                <w:b/>
                <w:sz w:val="16"/>
                <w:szCs w:val="16"/>
              </w:rPr>
              <w:t>Intermédiaires en biens divers visé à l’article L.551-1 II du code monétaire et financier autre que celui à l’initiative de l’opération</w:t>
            </w:r>
          </w:p>
        </w:tc>
        <w:tc>
          <w:tcPr>
            <w:tcW w:w="3111" w:type="dxa"/>
            <w:shd w:val="clear" w:color="auto" w:fill="808080"/>
          </w:tcPr>
          <w:p w:rsidR="00415A01" w:rsidRPr="00415A01" w:rsidRDefault="00415A01" w:rsidP="00415A01">
            <w:pPr>
              <w:overflowPunct w:val="0"/>
              <w:autoSpaceDE w:val="0"/>
              <w:autoSpaceDN w:val="0"/>
              <w:adjustRightInd w:val="0"/>
              <w:jc w:val="center"/>
              <w:textAlignment w:val="baseline"/>
              <w:rPr>
                <w:rFonts w:asciiTheme="minorHAnsi" w:hAnsiTheme="minorHAnsi" w:cstheme="minorHAnsi"/>
                <w:b/>
                <w:sz w:val="16"/>
                <w:szCs w:val="16"/>
              </w:rPr>
            </w:pPr>
            <w:r w:rsidRPr="00415A01">
              <w:rPr>
                <w:rFonts w:asciiTheme="minorHAnsi" w:hAnsiTheme="minorHAnsi" w:cstheme="minorHAnsi"/>
                <w:b/>
                <w:sz w:val="16"/>
                <w:szCs w:val="16"/>
              </w:rPr>
              <w:t>Personne en charge de collecter les informations et de les transmettre à l’AMF</w:t>
            </w:r>
            <w:r w:rsidRPr="00415A01">
              <w:rPr>
                <w:rFonts w:asciiTheme="minorHAnsi" w:hAnsiTheme="minorHAnsi" w:cstheme="minorHAnsi"/>
                <w:b/>
                <w:sz w:val="16"/>
                <w:szCs w:val="16"/>
                <w:vertAlign w:val="superscript"/>
              </w:rPr>
              <w:footnoteReference w:id="1"/>
            </w:r>
          </w:p>
        </w:tc>
      </w:tr>
      <w:tr w:rsidR="00415A01" w:rsidRPr="00415A01" w:rsidTr="00415A01">
        <w:tc>
          <w:tcPr>
            <w:tcW w:w="1809"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 xml:space="preserve">Article 441-1 du règlement général de l’AMF : </w:t>
            </w:r>
          </w:p>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p>
        </w:tc>
        <w:tc>
          <w:tcPr>
            <w:tcW w:w="1134"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418"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276"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417"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843"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559"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3111"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Règles d’organisation, d’honorabilité, de compétence et d’expérience…</w:t>
            </w: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et au II de l’article L. 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qui prend l’initiative de l’opération</w:t>
            </w: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 xml:space="preserve">Prévention des conflits d’intérêts </w:t>
            </w: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et au II de l’article L. 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qui prend l’initiative de l’opération</w:t>
            </w: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 xml:space="preserve">Souscription d’une assurance de responsabilité civile professionnelle </w:t>
            </w: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et au II de l’article L. 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qui prend l’initiative de l’opération</w:t>
            </w:r>
          </w:p>
        </w:tc>
      </w:tr>
      <w:tr w:rsidR="00415A01" w:rsidRPr="00415A01" w:rsidTr="00415A01">
        <w:tc>
          <w:tcPr>
            <w:tcW w:w="1809"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lastRenderedPageBreak/>
              <w:t>Article 441-2 I du règlement général de l’AMF</w:t>
            </w:r>
          </w:p>
        </w:tc>
        <w:tc>
          <w:tcPr>
            <w:tcW w:w="1134"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418"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276"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417"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843"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559"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3111"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 xml:space="preserve">1° Ouverture du compte unique dédié à l’opération </w:t>
            </w: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et au II de l’article L.551-1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 xml:space="preserve">qui prend l’initiative de l’opération </w:t>
            </w: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2° Justification de la souscription d’une assurance des biens remis en contrepartie d’une rente viagère</w:t>
            </w: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de l’article L. 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 xml:space="preserve">qui prend l’initiative de l’opération </w:t>
            </w:r>
          </w:p>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3° La valorisation des droits à percevoir la rente viagère, les biens ou les droits sur les biens au moment des souscriptions</w:t>
            </w: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et au II de l’article L.551-1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 xml:space="preserve">qui prend l’initiative de l’opération </w:t>
            </w: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4° Mise en place d’une procédure permettant de déterminer un profil type d’investisseurs adapté au risque afférent au placement en biens divers</w:t>
            </w: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 xml:space="preserve">NON </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et au II de l’article L.551-1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 xml:space="preserve">qui prend l’initiative de l’opération </w:t>
            </w: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 xml:space="preserve">5° Justification de la tenue de registre nécessaire pour remplir les exigences visées au </w:t>
            </w:r>
            <w:r w:rsidRPr="00415A01">
              <w:rPr>
                <w:rFonts w:asciiTheme="minorHAnsi" w:hAnsiTheme="minorHAnsi" w:cstheme="minorHAnsi"/>
                <w:b/>
                <w:sz w:val="16"/>
                <w:szCs w:val="16"/>
              </w:rPr>
              <w:lastRenderedPageBreak/>
              <w:t xml:space="preserve">5° du I de l’article 441-2 du règlement général de l’AMF </w:t>
            </w: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lastRenderedPageBreak/>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et au II de l’article L.551-1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qui prend l’initiative de l’opération</w:t>
            </w: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lastRenderedPageBreak/>
              <w:t xml:space="preserve">6° Transmission aux investisseurs d’un justificatif des droits à percevoir une rente viagère ou des droits sur les biens dès qu’ils les acquièrent </w:t>
            </w:r>
          </w:p>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ET</w:t>
            </w:r>
          </w:p>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Envoi à l’AMF d’un engagement formel</w:t>
            </w: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et au II de l’article L.551-1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qui prend l’initiative de l’opération</w:t>
            </w:r>
          </w:p>
        </w:tc>
      </w:tr>
      <w:tr w:rsidR="00415A01" w:rsidRPr="00415A01" w:rsidTr="004E09ED">
        <w:trPr>
          <w:trHeight w:val="2604"/>
        </w:trPr>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7° Signature du document d’information et transmission des documents mentionnés à l’article L. 551-3 du code monétaire et financier et des</w:t>
            </w:r>
            <w:r w:rsidRPr="00415A01">
              <w:rPr>
                <w:rFonts w:asciiTheme="minorHAnsi" w:hAnsiTheme="minorHAnsi" w:cstheme="minorHAnsi"/>
              </w:rPr>
              <w:t xml:space="preserve"> </w:t>
            </w:r>
            <w:r w:rsidRPr="00415A01">
              <w:rPr>
                <w:rFonts w:asciiTheme="minorHAnsi" w:hAnsiTheme="minorHAnsi" w:cstheme="minorHAnsi"/>
                <w:b/>
                <w:sz w:val="16"/>
                <w:szCs w:val="16"/>
              </w:rPr>
              <w:t>éléments justifiant du respect des obligations mentionnées à l’article 441-1</w:t>
            </w:r>
          </w:p>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et au II de l’article L.551-1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qui prend l’initiative de l’opération</w:t>
            </w:r>
          </w:p>
        </w:tc>
      </w:tr>
      <w:tr w:rsidR="00415A01" w:rsidRPr="00415A01" w:rsidTr="00415A01">
        <w:tc>
          <w:tcPr>
            <w:tcW w:w="1809"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Article 441-2 II du règlement général de l’AMF</w:t>
            </w:r>
          </w:p>
        </w:tc>
        <w:tc>
          <w:tcPr>
            <w:tcW w:w="1134"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418"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276"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417"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843"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559"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3111"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lastRenderedPageBreak/>
              <w:t>1° Justification de la souscription d’une assurance des biens sur lesquels des droits sont acquis</w:t>
            </w: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et au II de l’article L.551-1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qui prend l’initiative de l’opération</w:t>
            </w: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2° Mise en place d’une procédure de valorisation des biens en cas de faculté de reprise ou d’échange</w:t>
            </w: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de l’article L. 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qui prend l’initiative de l’opération</w:t>
            </w: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3° Mise en place d’un mécanisme garantissant la liquidité des droits sur les biens</w:t>
            </w: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de l’article L. 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qui prend l’initiative de l’opération</w:t>
            </w:r>
          </w:p>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r>
      <w:tr w:rsidR="00415A01" w:rsidRPr="00415A01" w:rsidTr="00415A01">
        <w:tc>
          <w:tcPr>
            <w:tcW w:w="1809"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Article 441-3 du règlement général de l’AMF</w:t>
            </w:r>
          </w:p>
        </w:tc>
        <w:tc>
          <w:tcPr>
            <w:tcW w:w="1134"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418"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276"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417"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843"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559"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3111"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1° Fourniture d’un rapport établi par un expert indépendant</w:t>
            </w:r>
          </w:p>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p>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et au II de l’article L.551-1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qui prend l’initiative de l’opération</w:t>
            </w: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3° Fourniture des communications  à caractère promotionnel mentionnées au III de l’article L. 551-1 du code monétaire et financier</w:t>
            </w:r>
          </w:p>
        </w:tc>
        <w:tc>
          <w:tcPr>
            <w:tcW w:w="1134" w:type="dxa"/>
          </w:tcPr>
          <w:p w:rsidR="00415A01" w:rsidRPr="00415A01" w:rsidRDefault="00415A01" w:rsidP="00415A01">
            <w:pPr>
              <w:overflowPunct w:val="0"/>
              <w:autoSpaceDE w:val="0"/>
              <w:autoSpaceDN w:val="0"/>
              <w:adjustRightInd w:val="0"/>
              <w:spacing w:after="200" w:line="276" w:lineRule="auto"/>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418" w:type="dxa"/>
          </w:tcPr>
          <w:p w:rsidR="00415A01" w:rsidRPr="00415A01" w:rsidRDefault="00415A01" w:rsidP="00415A01">
            <w:pPr>
              <w:overflowPunct w:val="0"/>
              <w:autoSpaceDE w:val="0"/>
              <w:autoSpaceDN w:val="0"/>
              <w:adjustRightInd w:val="0"/>
              <w:spacing w:after="200" w:line="276" w:lineRule="auto"/>
              <w:textAlignment w:val="baseline"/>
              <w:rPr>
                <w:rFonts w:asciiTheme="minorHAnsi" w:hAnsiTheme="minorHAnsi" w:cstheme="minorHAnsi"/>
                <w:sz w:val="16"/>
                <w:szCs w:val="16"/>
              </w:rPr>
            </w:pPr>
            <w:r w:rsidRPr="00415A01">
              <w:rPr>
                <w:rFonts w:asciiTheme="minorHAnsi" w:hAnsiTheme="minorHAnsi" w:cstheme="minorHAnsi"/>
                <w:sz w:val="16"/>
                <w:szCs w:val="16"/>
              </w:rPr>
              <w:t xml:space="preserve">OUI </w:t>
            </w:r>
          </w:p>
        </w:tc>
        <w:tc>
          <w:tcPr>
            <w:tcW w:w="1276" w:type="dxa"/>
          </w:tcPr>
          <w:p w:rsidR="00415A01" w:rsidRPr="00415A01" w:rsidRDefault="00415A01" w:rsidP="00415A01">
            <w:pPr>
              <w:overflowPunct w:val="0"/>
              <w:autoSpaceDE w:val="0"/>
              <w:autoSpaceDN w:val="0"/>
              <w:adjustRightInd w:val="0"/>
              <w:spacing w:after="200" w:line="276" w:lineRule="auto"/>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417" w:type="dxa"/>
          </w:tcPr>
          <w:p w:rsidR="00415A01" w:rsidRPr="00415A01" w:rsidRDefault="00415A01" w:rsidP="00415A01">
            <w:pPr>
              <w:overflowPunct w:val="0"/>
              <w:autoSpaceDE w:val="0"/>
              <w:autoSpaceDN w:val="0"/>
              <w:adjustRightInd w:val="0"/>
              <w:spacing w:after="200" w:line="276" w:lineRule="auto"/>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843" w:type="dxa"/>
          </w:tcPr>
          <w:p w:rsidR="00415A01" w:rsidRPr="00415A01" w:rsidRDefault="00415A01" w:rsidP="00415A01">
            <w:pPr>
              <w:overflowPunct w:val="0"/>
              <w:autoSpaceDE w:val="0"/>
              <w:autoSpaceDN w:val="0"/>
              <w:adjustRightInd w:val="0"/>
              <w:spacing w:after="200" w:line="276" w:lineRule="auto"/>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 xml:space="preserve">L’intermédiaire à l’initiative de l’opération fournit à l’AMF, l’ensemble </w:t>
            </w:r>
            <w:proofErr w:type="gramStart"/>
            <w:r w:rsidRPr="00415A01">
              <w:rPr>
                <w:rFonts w:asciiTheme="minorHAnsi" w:hAnsiTheme="minorHAnsi" w:cstheme="minorHAnsi"/>
                <w:sz w:val="16"/>
                <w:szCs w:val="16"/>
              </w:rPr>
              <w:t>des  communications</w:t>
            </w:r>
            <w:proofErr w:type="gramEnd"/>
            <w:r w:rsidRPr="00415A01">
              <w:rPr>
                <w:rFonts w:asciiTheme="minorHAnsi" w:hAnsiTheme="minorHAnsi" w:cstheme="minorHAnsi"/>
                <w:sz w:val="16"/>
                <w:szCs w:val="16"/>
              </w:rPr>
              <w:t xml:space="preserve"> à caractère promotionnel de l’ensemble des intermédiaires intervenant dans l’opération. Les intermédiaires, autres que l’initiateur de l’opération doivent donc  lui fournir les </w:t>
            </w:r>
            <w:r w:rsidRPr="00415A01">
              <w:rPr>
                <w:rFonts w:asciiTheme="minorHAnsi" w:hAnsiTheme="minorHAnsi" w:cstheme="minorHAnsi"/>
                <w:sz w:val="16"/>
                <w:szCs w:val="16"/>
              </w:rPr>
              <w:lastRenderedPageBreak/>
              <w:t>communications à caractère promotionnel qu’ils utilisent afin que l’initiateur puisse remplir son obligation réglementaire.</w:t>
            </w:r>
          </w:p>
        </w:tc>
      </w:tr>
      <w:tr w:rsidR="00415A01" w:rsidRPr="00415A01" w:rsidTr="00415A01">
        <w:tc>
          <w:tcPr>
            <w:tcW w:w="1809"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lastRenderedPageBreak/>
              <w:t>Chapitre 3 de l’instruction</w:t>
            </w:r>
          </w:p>
        </w:tc>
        <w:tc>
          <w:tcPr>
            <w:tcW w:w="1134"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418"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276"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417"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843"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559"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3111"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r>
      <w:tr w:rsidR="00415A01" w:rsidRPr="00415A01" w:rsidTr="00415A01">
        <w:tc>
          <w:tcPr>
            <w:tcW w:w="1809"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 xml:space="preserve">Article 14 - Respect des obligations portant sur les communications à caractère promotionnel sur les offres de biens divers telles que visées au III de l’article L. 551-1 du code monétaire et financier </w:t>
            </w:r>
          </w:p>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p>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p>
        </w:tc>
        <w:tc>
          <w:tcPr>
            <w:tcW w:w="1134"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418"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417"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843"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3111"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N/A</w:t>
            </w:r>
          </w:p>
        </w:tc>
      </w:tr>
      <w:tr w:rsidR="00415A01" w:rsidRPr="00415A01" w:rsidTr="00415A01">
        <w:tc>
          <w:tcPr>
            <w:tcW w:w="1809"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Chapitre 4 de l’instruction</w:t>
            </w:r>
          </w:p>
        </w:tc>
        <w:tc>
          <w:tcPr>
            <w:tcW w:w="1134"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418"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276"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417"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843"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559"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3111"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r>
      <w:tr w:rsidR="00415A01" w:rsidRPr="00415A01" w:rsidTr="004E09ED">
        <w:tc>
          <w:tcPr>
            <w:tcW w:w="180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 xml:space="preserve">Article 18 - Evolution des conditions de l’offre et obligations afférentes </w:t>
            </w:r>
          </w:p>
        </w:tc>
        <w:tc>
          <w:tcPr>
            <w:tcW w:w="1134"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7"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843"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et au II de l’article L.551-1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qui prend l’initiative de l’opération</w:t>
            </w:r>
          </w:p>
        </w:tc>
      </w:tr>
      <w:tr w:rsidR="00415A01" w:rsidRPr="00415A01" w:rsidTr="00415A01">
        <w:tc>
          <w:tcPr>
            <w:tcW w:w="1809"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Chapitre 5 de l’instruction</w:t>
            </w:r>
          </w:p>
        </w:tc>
        <w:tc>
          <w:tcPr>
            <w:tcW w:w="1134"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418"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276"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417"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843"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1559"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c>
          <w:tcPr>
            <w:tcW w:w="3111" w:type="dxa"/>
            <w:shd w:val="clear" w:color="auto" w:fill="808080"/>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p>
        </w:tc>
      </w:tr>
      <w:tr w:rsidR="00415A01" w:rsidRPr="00415A01" w:rsidTr="00415A01">
        <w:tc>
          <w:tcPr>
            <w:tcW w:w="1809"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Information périodique des investisseurs</w:t>
            </w:r>
          </w:p>
        </w:tc>
        <w:tc>
          <w:tcPr>
            <w:tcW w:w="1134"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417"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843"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559"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de l’article L. 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qui prend l’initiative de l’opération</w:t>
            </w:r>
          </w:p>
        </w:tc>
      </w:tr>
      <w:tr w:rsidR="00415A01" w:rsidRPr="00415A01" w:rsidTr="00415A01">
        <w:tc>
          <w:tcPr>
            <w:tcW w:w="1809"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b/>
                <w:sz w:val="16"/>
                <w:szCs w:val="16"/>
              </w:rPr>
            </w:pPr>
            <w:r w:rsidRPr="00415A01">
              <w:rPr>
                <w:rFonts w:asciiTheme="minorHAnsi" w:hAnsiTheme="minorHAnsi" w:cstheme="minorHAnsi"/>
                <w:b/>
                <w:sz w:val="16"/>
                <w:szCs w:val="16"/>
              </w:rPr>
              <w:t>Information semestrielle et annuelle de l’AMF</w:t>
            </w:r>
          </w:p>
        </w:tc>
        <w:tc>
          <w:tcPr>
            <w:tcW w:w="1134"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1418"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276"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417"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843"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OUI</w:t>
            </w:r>
          </w:p>
        </w:tc>
        <w:tc>
          <w:tcPr>
            <w:tcW w:w="1559"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NON</w:t>
            </w:r>
          </w:p>
        </w:tc>
        <w:tc>
          <w:tcPr>
            <w:tcW w:w="3111" w:type="dxa"/>
            <w:shd w:val="clear" w:color="auto" w:fill="FFFFFF"/>
          </w:tcPr>
          <w:p w:rsidR="00415A01" w:rsidRPr="00415A01" w:rsidRDefault="00415A01" w:rsidP="00415A01">
            <w:pPr>
              <w:overflowPunct w:val="0"/>
              <w:autoSpaceDE w:val="0"/>
              <w:autoSpaceDN w:val="0"/>
              <w:adjustRightInd w:val="0"/>
              <w:textAlignment w:val="baseline"/>
              <w:rPr>
                <w:rFonts w:asciiTheme="minorHAnsi" w:hAnsiTheme="minorHAnsi" w:cstheme="minorHAnsi"/>
                <w:sz w:val="16"/>
                <w:szCs w:val="16"/>
              </w:rPr>
            </w:pPr>
            <w:r w:rsidRPr="00415A01">
              <w:rPr>
                <w:rFonts w:asciiTheme="minorHAnsi" w:hAnsiTheme="minorHAnsi" w:cstheme="minorHAnsi"/>
                <w:sz w:val="16"/>
                <w:szCs w:val="16"/>
              </w:rPr>
              <w:t>L’intermédiaire visé au I 1° et au II de l’article L. 551-1 du code monétaire et financier</w:t>
            </w:r>
            <w:r w:rsidRPr="00415A01" w:rsidDel="0025699B">
              <w:rPr>
                <w:rFonts w:asciiTheme="minorHAnsi" w:hAnsiTheme="minorHAnsi" w:cstheme="minorHAnsi"/>
                <w:sz w:val="16"/>
                <w:szCs w:val="16"/>
              </w:rPr>
              <w:t xml:space="preserve"> </w:t>
            </w:r>
            <w:r w:rsidRPr="00415A01">
              <w:rPr>
                <w:rFonts w:asciiTheme="minorHAnsi" w:hAnsiTheme="minorHAnsi" w:cstheme="minorHAnsi"/>
                <w:sz w:val="16"/>
                <w:szCs w:val="16"/>
              </w:rPr>
              <w:t>qui prend l’initiative de l’opération</w:t>
            </w:r>
          </w:p>
        </w:tc>
      </w:tr>
    </w:tbl>
    <w:p w:rsidR="00922AD8" w:rsidRPr="00A27088" w:rsidRDefault="00922AD8" w:rsidP="00A27088">
      <w:pPr>
        <w:jc w:val="both"/>
        <w:rPr>
          <w:rFonts w:asciiTheme="minorHAnsi" w:hAnsiTheme="minorHAnsi" w:cstheme="minorHAnsi"/>
          <w:sz w:val="20"/>
          <w:szCs w:val="20"/>
        </w:rPr>
      </w:pPr>
    </w:p>
    <w:sectPr w:rsidR="00922AD8" w:rsidRPr="00A27088" w:rsidSect="00923EB0">
      <w:headerReference w:type="default" r:id="rId9"/>
      <w:footerReference w:type="default" r:id="rId10"/>
      <w:headerReference w:type="first" r:id="rId11"/>
      <w:footerReference w:type="first" r:id="rId12"/>
      <w:type w:val="continuous"/>
      <w:pgSz w:w="16838" w:h="11906" w:orient="landscape"/>
      <w:pgMar w:top="1259" w:right="2268" w:bottom="1418"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399" w:rsidRDefault="001E6399">
      <w:r>
        <w:separator/>
      </w:r>
    </w:p>
  </w:endnote>
  <w:endnote w:type="continuationSeparator" w:id="0">
    <w:p w:rsidR="001E6399" w:rsidRDefault="001E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D55CFD">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D55CFD">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415A01">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415A01">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399" w:rsidRDefault="001E6399">
      <w:r>
        <w:separator/>
      </w:r>
    </w:p>
  </w:footnote>
  <w:footnote w:type="continuationSeparator" w:id="0">
    <w:p w:rsidR="001E6399" w:rsidRDefault="001E6399">
      <w:r>
        <w:continuationSeparator/>
      </w:r>
    </w:p>
  </w:footnote>
  <w:footnote w:id="1">
    <w:p w:rsidR="00415A01" w:rsidRPr="00415A01" w:rsidRDefault="00415A01" w:rsidP="00415A01">
      <w:pPr>
        <w:pStyle w:val="Notedebasdepage"/>
        <w:jc w:val="both"/>
        <w:rPr>
          <w:rFonts w:asciiTheme="minorHAnsi" w:hAnsiTheme="minorHAnsi" w:cstheme="minorHAnsi"/>
          <w:sz w:val="16"/>
          <w:szCs w:val="16"/>
        </w:rPr>
      </w:pPr>
      <w:r w:rsidRPr="00652BFD">
        <w:rPr>
          <w:rStyle w:val="Appelnotedebasdep"/>
          <w:sz w:val="16"/>
          <w:szCs w:val="16"/>
        </w:rPr>
        <w:footnoteRef/>
      </w:r>
      <w:r w:rsidRPr="00652BFD">
        <w:rPr>
          <w:sz w:val="16"/>
          <w:szCs w:val="16"/>
        </w:rPr>
        <w:t xml:space="preserve"> </w:t>
      </w:r>
      <w:r w:rsidRPr="00415A01">
        <w:rPr>
          <w:rFonts w:asciiTheme="minorHAnsi" w:hAnsiTheme="minorHAnsi" w:cstheme="minorHAnsi"/>
          <w:sz w:val="16"/>
          <w:szCs w:val="16"/>
        </w:rPr>
        <w:t xml:space="preserve">En tant que débiteur de l’obligation de transmission à l’AMF, l’intermédiaire débiteur de l’obligation de dépôt auprès de l’AMF fournit l’intégralité des informations le concernant, mais également, le cas échéant, lorsque d’autres intermédiaires interviennent dans l’opération et sont également tenus d’une </w:t>
      </w:r>
      <w:proofErr w:type="gramStart"/>
      <w:r w:rsidRPr="00415A01">
        <w:rPr>
          <w:rFonts w:asciiTheme="minorHAnsi" w:hAnsiTheme="minorHAnsi" w:cstheme="minorHAnsi"/>
          <w:sz w:val="16"/>
          <w:szCs w:val="16"/>
        </w:rPr>
        <w:t>des obligations mention</w:t>
      </w:r>
      <w:bookmarkStart w:id="0" w:name="_GoBack"/>
      <w:bookmarkEnd w:id="0"/>
      <w:r w:rsidRPr="00415A01">
        <w:rPr>
          <w:rFonts w:asciiTheme="minorHAnsi" w:hAnsiTheme="minorHAnsi" w:cstheme="minorHAnsi"/>
          <w:sz w:val="16"/>
          <w:szCs w:val="16"/>
        </w:rPr>
        <w:t>née</w:t>
      </w:r>
      <w:proofErr w:type="gramEnd"/>
      <w:r w:rsidRPr="00415A01">
        <w:rPr>
          <w:rFonts w:asciiTheme="minorHAnsi" w:hAnsiTheme="minorHAnsi" w:cstheme="minorHAnsi"/>
          <w:sz w:val="16"/>
          <w:szCs w:val="16"/>
        </w:rPr>
        <w:t>, les informations relatives à ces intermédiaires.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C725B6">
    <w:pPr>
      <w:pStyle w:val="En-tte"/>
      <w:rPr>
        <w:rFonts w:asciiTheme="minorHAnsi" w:hAnsiTheme="minorHAnsi" w:cstheme="minorHAnsi"/>
        <w:sz w:val="18"/>
        <w:szCs w:val="18"/>
      </w:rPr>
    </w:pPr>
    <w:r w:rsidRPr="00C725B6">
      <w:rPr>
        <w:rFonts w:asciiTheme="minorHAnsi" w:hAnsiTheme="minorHAnsi" w:cstheme="minorHAnsi"/>
        <w:sz w:val="18"/>
        <w:szCs w:val="18"/>
      </w:rPr>
      <w:t>Synthèse des obligations de chacun des intermédiaires en biens divers</w:t>
    </w:r>
    <w:r w:rsidR="00236477" w:rsidRPr="00236477">
      <w:rPr>
        <w:rFonts w:asciiTheme="minorHAnsi" w:hAnsiTheme="minorHAnsi" w:cstheme="minorHAnsi"/>
        <w:sz w:val="18"/>
        <w:szCs w:val="18"/>
      </w:rPr>
      <w:t xml:space="preserve"> </w:t>
    </w:r>
    <w:r w:rsidR="00236477">
      <w:rPr>
        <w:rFonts w:asciiTheme="minorHAnsi" w:hAnsiTheme="minorHAnsi" w:cstheme="minorHAnsi"/>
        <w:sz w:val="18"/>
        <w:szCs w:val="18"/>
      </w:rPr>
      <w:t xml:space="preserve">- </w:t>
    </w:r>
    <w:r w:rsidR="00A27088">
      <w:rPr>
        <w:rFonts w:asciiTheme="minorHAnsi" w:hAnsiTheme="minorHAnsi" w:cstheme="minorHAnsi"/>
        <w:sz w:val="18"/>
        <w:szCs w:val="18"/>
      </w:rPr>
      <w:t>Annexe I</w:t>
    </w:r>
    <w:r>
      <w:rPr>
        <w:rFonts w:asciiTheme="minorHAnsi" w:hAnsiTheme="minorHAnsi" w:cstheme="minorHAnsi"/>
        <w:sz w:val="18"/>
        <w:szCs w:val="18"/>
      </w:rPr>
      <w:t>I</w:t>
    </w:r>
    <w:r w:rsidR="00A27088">
      <w:rPr>
        <w:rFonts w:asciiTheme="minorHAnsi" w:hAnsiTheme="minorHAnsi" w:cstheme="minorHAnsi"/>
        <w:sz w:val="18"/>
        <w:szCs w:val="18"/>
      </w:rPr>
      <w:t xml:space="preserve">I de l’instruction AMF </w:t>
    </w:r>
    <w:r w:rsidR="00922AD8" w:rsidRPr="00922AD8">
      <w:rPr>
        <w:rFonts w:asciiTheme="minorHAnsi" w:hAnsiTheme="minorHAnsi" w:cstheme="minorHAnsi"/>
        <w:sz w:val="18"/>
        <w:szCs w:val="18"/>
      </w:rPr>
      <w:t xml:space="preserve">- </w:t>
    </w:r>
    <w:r w:rsidR="00A27088" w:rsidRPr="00A27088">
      <w:rPr>
        <w:rFonts w:asciiTheme="minorHAnsi" w:hAnsiTheme="minorHAnsi" w:cstheme="minorHAnsi"/>
        <w:sz w:val="18"/>
        <w:szCs w:val="18"/>
      </w:rPr>
      <w:t>DOC-201</w:t>
    </w:r>
    <w:r>
      <w:rPr>
        <w:rFonts w:asciiTheme="minorHAnsi" w:hAnsiTheme="minorHAnsi" w:cstheme="minorHAnsi"/>
        <w:sz w:val="18"/>
        <w:szCs w:val="18"/>
      </w:rPr>
      <w:t>7</w:t>
    </w:r>
    <w:r w:rsidR="00A27088" w:rsidRPr="00A27088">
      <w:rPr>
        <w:rFonts w:asciiTheme="minorHAnsi" w:hAnsiTheme="minorHAnsi" w:cstheme="minorHAnsi"/>
        <w:sz w:val="18"/>
        <w:szCs w:val="18"/>
      </w:rPr>
      <w:t>-</w:t>
    </w:r>
    <w:r>
      <w:rPr>
        <w:rFonts w:asciiTheme="minorHAnsi" w:hAnsiTheme="minorHAnsi" w:cstheme="minorHAnsi"/>
        <w:sz w:val="18"/>
        <w:szCs w:val="18"/>
      </w:rPr>
      <w:t>06</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28.25pt;height:28.25pt" o:bullet="t">
        <v:imagedata r:id="rId1" o:title="Flêche_AMF_blc"/>
      </v:shape>
    </w:pict>
  </w:numPicBullet>
  <w:numPicBullet w:numPicBulletId="1">
    <w:pict>
      <v:shape id="_x0000_i1132" type="#_x0000_t75" style="width:2.75pt;height:2.75pt" o:bullet="t">
        <v:imagedata r:id="rId2" o:title="Fleche_prune copie"/>
      </v:shape>
    </w:pict>
  </w:numPicBullet>
  <w:numPicBullet w:numPicBulletId="2">
    <w:pict>
      <v:shape id="_x0000_i1133" type="#_x0000_t75" style="width:28.25pt;height:28.25pt" o:bullet="t">
        <v:imagedata r:id="rId3" o:title="Fleche_jaune"/>
      </v:shape>
    </w:pict>
  </w:numPicBullet>
  <w:numPicBullet w:numPicBulletId="3">
    <w:pict>
      <v:shape id="_x0000_i1134" type="#_x0000_t75" style="width:28.25pt;height:28.25pt" o:bullet="t">
        <v:imagedata r:id="rId4" o:title="Fleche_aubergine"/>
      </v:shape>
    </w:pict>
  </w:numPicBullet>
  <w:numPicBullet w:numPicBulletId="4">
    <w:pict>
      <v:shape id="_x0000_i1135" type="#_x0000_t75" style="width:28.25pt;height:28.2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9E324F4C"/>
    <w:lvl w:ilvl="0">
      <w:numFmt w:val="bullet"/>
      <w:lvlText w:val="*"/>
      <w:lvlJc w:val="left"/>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48845BCA"/>
    <w:lvl w:ilvl="0" w:tplc="C370272C">
      <w:start w:val="1"/>
      <w:numFmt w:val="bullet"/>
      <w:pStyle w:val="AMFPucegrise"/>
      <w:lvlText w:val=""/>
      <w:lvlJc w:val="left"/>
      <w:pPr>
        <w:ind w:left="-132" w:hanging="360"/>
      </w:pPr>
      <w:rPr>
        <w:rFonts w:ascii="Wingdings" w:hAnsi="Wingdings" w:hint="default"/>
        <w:color w:val="0070C0"/>
        <w:sz w:val="20"/>
        <w:szCs w:val="28"/>
      </w:rPr>
    </w:lvl>
    <w:lvl w:ilvl="1" w:tplc="040C0003" w:tentative="1">
      <w:start w:val="1"/>
      <w:numFmt w:val="bullet"/>
      <w:lvlText w:val="o"/>
      <w:lvlJc w:val="left"/>
      <w:pPr>
        <w:ind w:left="588" w:hanging="360"/>
      </w:pPr>
      <w:rPr>
        <w:rFonts w:ascii="Courier New" w:hAnsi="Courier New" w:cs="Courier New" w:hint="default"/>
      </w:rPr>
    </w:lvl>
    <w:lvl w:ilvl="2" w:tplc="040C0005" w:tentative="1">
      <w:start w:val="1"/>
      <w:numFmt w:val="bullet"/>
      <w:lvlText w:val=""/>
      <w:lvlJc w:val="left"/>
      <w:pPr>
        <w:ind w:left="1308" w:hanging="360"/>
      </w:pPr>
      <w:rPr>
        <w:rFonts w:ascii="Wingdings" w:hAnsi="Wingdings" w:hint="default"/>
      </w:rPr>
    </w:lvl>
    <w:lvl w:ilvl="3" w:tplc="040C0001" w:tentative="1">
      <w:start w:val="1"/>
      <w:numFmt w:val="bullet"/>
      <w:lvlText w:val=""/>
      <w:lvlJc w:val="left"/>
      <w:pPr>
        <w:ind w:left="2028" w:hanging="360"/>
      </w:pPr>
      <w:rPr>
        <w:rFonts w:ascii="Symbol" w:hAnsi="Symbol" w:hint="default"/>
      </w:rPr>
    </w:lvl>
    <w:lvl w:ilvl="4" w:tplc="040C0003" w:tentative="1">
      <w:start w:val="1"/>
      <w:numFmt w:val="bullet"/>
      <w:lvlText w:val="o"/>
      <w:lvlJc w:val="left"/>
      <w:pPr>
        <w:ind w:left="2748" w:hanging="360"/>
      </w:pPr>
      <w:rPr>
        <w:rFonts w:ascii="Courier New" w:hAnsi="Courier New" w:cs="Courier New" w:hint="default"/>
      </w:rPr>
    </w:lvl>
    <w:lvl w:ilvl="5" w:tplc="040C0005" w:tentative="1">
      <w:start w:val="1"/>
      <w:numFmt w:val="bullet"/>
      <w:lvlText w:val=""/>
      <w:lvlJc w:val="left"/>
      <w:pPr>
        <w:ind w:left="3468" w:hanging="360"/>
      </w:pPr>
      <w:rPr>
        <w:rFonts w:ascii="Wingdings" w:hAnsi="Wingdings" w:hint="default"/>
      </w:rPr>
    </w:lvl>
    <w:lvl w:ilvl="6" w:tplc="040C0001" w:tentative="1">
      <w:start w:val="1"/>
      <w:numFmt w:val="bullet"/>
      <w:lvlText w:val=""/>
      <w:lvlJc w:val="left"/>
      <w:pPr>
        <w:ind w:left="4188" w:hanging="360"/>
      </w:pPr>
      <w:rPr>
        <w:rFonts w:ascii="Symbol" w:hAnsi="Symbol" w:hint="default"/>
      </w:rPr>
    </w:lvl>
    <w:lvl w:ilvl="7" w:tplc="040C0003" w:tentative="1">
      <w:start w:val="1"/>
      <w:numFmt w:val="bullet"/>
      <w:lvlText w:val="o"/>
      <w:lvlJc w:val="left"/>
      <w:pPr>
        <w:ind w:left="4908" w:hanging="360"/>
      </w:pPr>
      <w:rPr>
        <w:rFonts w:ascii="Courier New" w:hAnsi="Courier New" w:cs="Courier New" w:hint="default"/>
      </w:rPr>
    </w:lvl>
    <w:lvl w:ilvl="8" w:tplc="040C0005" w:tentative="1">
      <w:start w:val="1"/>
      <w:numFmt w:val="bullet"/>
      <w:lvlText w:val=""/>
      <w:lvlJc w:val="left"/>
      <w:pPr>
        <w:ind w:left="5628"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31"/>
  </w:num>
  <w:num w:numId="5">
    <w:abstractNumId w:val="34"/>
  </w:num>
  <w:num w:numId="6">
    <w:abstractNumId w:val="12"/>
  </w:num>
  <w:num w:numId="7">
    <w:abstractNumId w:val="13"/>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5"/>
  </w:num>
  <w:num w:numId="22">
    <w:abstractNumId w:val="19"/>
  </w:num>
  <w:num w:numId="23">
    <w:abstractNumId w:val="14"/>
  </w:num>
  <w:num w:numId="24">
    <w:abstractNumId w:val="30"/>
  </w:num>
  <w:num w:numId="25">
    <w:abstractNumId w:val="27"/>
  </w:num>
  <w:num w:numId="26">
    <w:abstractNumId w:val="33"/>
  </w:num>
  <w:num w:numId="27">
    <w:abstractNumId w:val="21"/>
  </w:num>
  <w:num w:numId="28">
    <w:abstractNumId w:val="17"/>
  </w:num>
  <w:num w:numId="29">
    <w:abstractNumId w:val="23"/>
    <w:lvlOverride w:ilvl="0">
      <w:startOverride w:val="1"/>
    </w:lvlOverride>
  </w:num>
  <w:num w:numId="30">
    <w:abstractNumId w:val="14"/>
  </w:num>
  <w:num w:numId="31">
    <w:abstractNumId w:val="32"/>
  </w:num>
  <w:num w:numId="32">
    <w:abstractNumId w:val="24"/>
  </w:num>
  <w:num w:numId="33">
    <w:abstractNumId w:val="28"/>
  </w:num>
  <w:num w:numId="34">
    <w:abstractNumId w:val="18"/>
  </w:num>
  <w:num w:numId="35">
    <w:abstractNumId w:val="29"/>
  </w:num>
  <w:num w:numId="36">
    <w:abstractNumId w:val="22"/>
  </w:num>
  <w:num w:numId="37">
    <w:abstractNumId w:val="20"/>
  </w:num>
  <w:num w:numId="38">
    <w:abstractNumId w:val="35"/>
  </w:num>
  <w:num w:numId="39">
    <w:abstractNumId w:val="1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1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47">
    <w:abstractNumId w:val="28"/>
  </w:num>
  <w:num w:numId="4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1670B2"/>
    <w:rsid w:val="001E6399"/>
    <w:rsid w:val="0023233D"/>
    <w:rsid w:val="00236477"/>
    <w:rsid w:val="002434A6"/>
    <w:rsid w:val="002F705A"/>
    <w:rsid w:val="003061E5"/>
    <w:rsid w:val="00365120"/>
    <w:rsid w:val="00385E38"/>
    <w:rsid w:val="003B0015"/>
    <w:rsid w:val="00415A01"/>
    <w:rsid w:val="00460571"/>
    <w:rsid w:val="005009B5"/>
    <w:rsid w:val="00511597"/>
    <w:rsid w:val="00593EDE"/>
    <w:rsid w:val="005C1100"/>
    <w:rsid w:val="005C6282"/>
    <w:rsid w:val="0066464A"/>
    <w:rsid w:val="00684FDF"/>
    <w:rsid w:val="006C4987"/>
    <w:rsid w:val="006E6631"/>
    <w:rsid w:val="007211C5"/>
    <w:rsid w:val="0075127A"/>
    <w:rsid w:val="00771109"/>
    <w:rsid w:val="007759C7"/>
    <w:rsid w:val="007C2CD0"/>
    <w:rsid w:val="00826BA0"/>
    <w:rsid w:val="00835FC9"/>
    <w:rsid w:val="008A64B6"/>
    <w:rsid w:val="008B0776"/>
    <w:rsid w:val="008B2E32"/>
    <w:rsid w:val="00922AD8"/>
    <w:rsid w:val="00923EB0"/>
    <w:rsid w:val="009522A4"/>
    <w:rsid w:val="0097706F"/>
    <w:rsid w:val="009D11C4"/>
    <w:rsid w:val="009D35DA"/>
    <w:rsid w:val="00A1764E"/>
    <w:rsid w:val="00A27088"/>
    <w:rsid w:val="00A375FC"/>
    <w:rsid w:val="00A52761"/>
    <w:rsid w:val="00AC2B18"/>
    <w:rsid w:val="00AF529B"/>
    <w:rsid w:val="00B15F18"/>
    <w:rsid w:val="00C109BF"/>
    <w:rsid w:val="00C725B6"/>
    <w:rsid w:val="00C96044"/>
    <w:rsid w:val="00D52CFD"/>
    <w:rsid w:val="00D55321"/>
    <w:rsid w:val="00D55CFD"/>
    <w:rsid w:val="00D80A91"/>
    <w:rsid w:val="00D867B1"/>
    <w:rsid w:val="00E049BB"/>
    <w:rsid w:val="00E1204F"/>
    <w:rsid w:val="00E46668"/>
    <w:rsid w:val="00E66D10"/>
    <w:rsid w:val="00E74AAB"/>
    <w:rsid w:val="00E81007"/>
    <w:rsid w:val="00E91345"/>
    <w:rsid w:val="00FD25A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5DCF7"/>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styleId="Commentaire">
    <w:name w:val="annotation text"/>
    <w:basedOn w:val="Normal"/>
    <w:link w:val="CommentaireCar"/>
    <w:rsid w:val="00A27088"/>
    <w:pPr>
      <w:jc w:val="both"/>
    </w:pPr>
    <w:rPr>
      <w:rFonts w:ascii="Arial" w:eastAsia="Times" w:hAnsi="Arial"/>
      <w:sz w:val="20"/>
      <w:szCs w:val="20"/>
    </w:rPr>
  </w:style>
  <w:style w:type="character" w:customStyle="1" w:styleId="CommentaireCar">
    <w:name w:val="Commentaire Car"/>
    <w:basedOn w:val="Policepardfaut"/>
    <w:link w:val="Commentaire"/>
    <w:rsid w:val="00A27088"/>
    <w:rPr>
      <w:rFonts w:ascii="Arial" w:eastAsia="Times" w:hAnsi="Arial"/>
      <w:sz w:val="20"/>
      <w:szCs w:val="20"/>
    </w:rPr>
  </w:style>
  <w:style w:type="table" w:styleId="Grilledutableau">
    <w:name w:val="Table Grid"/>
    <w:basedOn w:val="TableauNormal"/>
    <w:uiPriority w:val="59"/>
    <w:rsid w:val="00D867B1"/>
    <w:rPr>
      <w:rFonts w:eastAsia="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15A01"/>
    <w:rPr>
      <w:rFonts w:eastAsia="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40A9E-418B-4C2D-9C26-20A102AE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995</Words>
  <Characters>5477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9</cp:revision>
  <cp:lastPrinted>2010-11-05T13:58:00Z</cp:lastPrinted>
  <dcterms:created xsi:type="dcterms:W3CDTF">2020-03-10T14:39:00Z</dcterms:created>
  <dcterms:modified xsi:type="dcterms:W3CDTF">2020-03-10T14:59:00Z</dcterms:modified>
</cp:coreProperties>
</file>