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A" w:rsidRPr="00696ABF" w:rsidRDefault="00AE182F" w:rsidP="00036098">
      <w:pPr>
        <w:rPr>
          <w:rFonts w:cs="Arial"/>
          <w:szCs w:val="18"/>
          <w:lang w:val="en-GB"/>
        </w:rPr>
      </w:pPr>
      <w:r w:rsidRPr="00696ABF">
        <w:rPr>
          <w:rFonts w:cs="Arial"/>
          <w:b/>
          <w:szCs w:val="18"/>
          <w:lang w:val="en-GB"/>
        </w:rPr>
        <w:t>Methods for the conversion of standard derivatives into the market value of an equivalent position in the underlying asset</w:t>
      </w:r>
    </w:p>
    <w:p w:rsidR="00236235" w:rsidRPr="00696ABF" w:rsidRDefault="00236235" w:rsidP="00BE401C">
      <w:pPr>
        <w:rPr>
          <w:iCs/>
          <w:szCs w:val="18"/>
          <w:lang w:val="en-GB"/>
        </w:rPr>
      </w:pPr>
    </w:p>
    <w:p w:rsidR="00236235" w:rsidRPr="00696ABF" w:rsidRDefault="00AE182F" w:rsidP="00236235">
      <w:pPr>
        <w:spacing w:after="120"/>
        <w:rPr>
          <w:rFonts w:cs="Arial"/>
          <w:szCs w:val="18"/>
          <w:lang w:val="en-GB"/>
        </w:rPr>
      </w:pPr>
      <w:r w:rsidRPr="00696ABF">
        <w:rPr>
          <w:iCs/>
          <w:szCs w:val="18"/>
          <w:lang w:val="en-GB"/>
        </w:rPr>
        <w:t>This</w:t>
      </w:r>
      <w:r w:rsidR="00BE401C" w:rsidRPr="00696ABF">
        <w:rPr>
          <w:iCs/>
          <w:szCs w:val="18"/>
          <w:lang w:val="en-GB"/>
        </w:rPr>
        <w:t xml:space="preserve"> document </w:t>
      </w:r>
      <w:r w:rsidRPr="00696ABF">
        <w:rPr>
          <w:iCs/>
          <w:szCs w:val="18"/>
          <w:lang w:val="en-GB"/>
        </w:rPr>
        <w:t>is A</w:t>
      </w:r>
      <w:r w:rsidR="00104E2B">
        <w:rPr>
          <w:iCs/>
          <w:szCs w:val="18"/>
          <w:lang w:val="en-GB"/>
        </w:rPr>
        <w:t>nnex</w:t>
      </w:r>
      <w:r w:rsidR="00BE401C" w:rsidRPr="00696ABF">
        <w:rPr>
          <w:iCs/>
          <w:szCs w:val="18"/>
          <w:lang w:val="en-GB"/>
        </w:rPr>
        <w:t xml:space="preserve"> </w:t>
      </w:r>
      <w:r w:rsidR="00236235" w:rsidRPr="00696ABF">
        <w:rPr>
          <w:iCs/>
          <w:szCs w:val="18"/>
          <w:lang w:val="en-GB"/>
        </w:rPr>
        <w:t>I</w:t>
      </w:r>
      <w:r w:rsidRPr="00696ABF">
        <w:rPr>
          <w:iCs/>
          <w:szCs w:val="18"/>
          <w:lang w:val="en-GB"/>
        </w:rPr>
        <w:t xml:space="preserve"> </w:t>
      </w:r>
      <w:r w:rsidR="00B6537E">
        <w:rPr>
          <w:iCs/>
          <w:szCs w:val="18"/>
          <w:lang w:val="en-GB"/>
        </w:rPr>
        <w:t>of</w:t>
      </w:r>
      <w:r w:rsidRPr="00696ABF">
        <w:rPr>
          <w:iCs/>
          <w:szCs w:val="18"/>
          <w:lang w:val="en-GB"/>
        </w:rPr>
        <w:t xml:space="preserve"> </w:t>
      </w:r>
      <w:r w:rsidR="00BE401C" w:rsidRPr="00696ABF">
        <w:rPr>
          <w:iCs/>
          <w:szCs w:val="18"/>
          <w:lang w:val="en-GB"/>
        </w:rPr>
        <w:t xml:space="preserve">AMF </w:t>
      </w:r>
      <w:r w:rsidRPr="00696ABF">
        <w:rPr>
          <w:iCs/>
          <w:szCs w:val="18"/>
          <w:lang w:val="en-GB"/>
        </w:rPr>
        <w:t xml:space="preserve">Instruction </w:t>
      </w:r>
      <w:r w:rsidR="00D345CD">
        <w:rPr>
          <w:iCs/>
          <w:szCs w:val="18"/>
          <w:lang w:val="en-GB"/>
        </w:rPr>
        <w:t>DOC-</w:t>
      </w:r>
      <w:r w:rsidR="00236235" w:rsidRPr="00696ABF">
        <w:rPr>
          <w:lang w:val="en-GB"/>
        </w:rPr>
        <w:t>2011-15</w:t>
      </w:r>
      <w:r w:rsidR="00BE401C" w:rsidRPr="00696ABF">
        <w:rPr>
          <w:lang w:val="en-GB"/>
        </w:rPr>
        <w:t xml:space="preserve"> </w:t>
      </w:r>
      <w:r w:rsidRPr="00696ABF">
        <w:rPr>
          <w:rFonts w:cs="Arial"/>
          <w:szCs w:val="18"/>
          <w:lang w:val="en-GB"/>
        </w:rPr>
        <w:t>–</w:t>
      </w:r>
      <w:r w:rsidR="00BE401C" w:rsidRPr="00696ABF">
        <w:rPr>
          <w:rFonts w:cs="Arial"/>
          <w:szCs w:val="18"/>
          <w:lang w:val="en-GB"/>
        </w:rPr>
        <w:t xml:space="preserve"> </w:t>
      </w:r>
      <w:r w:rsidR="00453F97">
        <w:rPr>
          <w:rFonts w:cs="Arial"/>
          <w:szCs w:val="18"/>
          <w:lang w:val="en-GB"/>
        </w:rPr>
        <w:t>C</w:t>
      </w:r>
      <w:r w:rsidRPr="00696ABF">
        <w:rPr>
          <w:rFonts w:cs="Arial"/>
          <w:szCs w:val="18"/>
          <w:lang w:val="en-GB"/>
        </w:rPr>
        <w:t xml:space="preserve">alculation of global exposure for authorised </w:t>
      </w:r>
      <w:r w:rsidR="00D345CD">
        <w:rPr>
          <w:rFonts w:cs="Arial"/>
          <w:szCs w:val="18"/>
          <w:lang w:val="en-GB"/>
        </w:rPr>
        <w:t>UCITS</w:t>
      </w:r>
      <w:r w:rsidRPr="00696ABF">
        <w:rPr>
          <w:rFonts w:cs="Arial"/>
          <w:szCs w:val="18"/>
          <w:lang w:val="en-GB"/>
        </w:rPr>
        <w:t xml:space="preserve"> and AIFs</w:t>
      </w:r>
      <w:r w:rsidR="00236235" w:rsidRPr="00696ABF">
        <w:rPr>
          <w:rFonts w:cs="Arial"/>
          <w:szCs w:val="18"/>
          <w:lang w:val="en-GB"/>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6269"/>
      </w:tblGrid>
      <w:tr w:rsidR="00236235" w:rsidRPr="00D345CD" w:rsidTr="008C2B35">
        <w:tc>
          <w:tcPr>
            <w:tcW w:w="817" w:type="dxa"/>
            <w:vMerge w:val="restart"/>
            <w:shd w:val="clear" w:color="auto" w:fill="auto"/>
            <w:textDirection w:val="btLr"/>
            <w:vAlign w:val="center"/>
          </w:tcPr>
          <w:p w:rsidR="00236235" w:rsidRPr="00696ABF" w:rsidRDefault="008C2B35" w:rsidP="008C2B35">
            <w:pPr>
              <w:ind w:left="113" w:right="113"/>
              <w:jc w:val="center"/>
              <w:rPr>
                <w:rFonts w:cs="Arial"/>
                <w:szCs w:val="18"/>
                <w:lang w:val="en-GB"/>
              </w:rPr>
            </w:pPr>
            <w:r w:rsidRPr="00696ABF">
              <w:rPr>
                <w:rFonts w:cs="Arial"/>
                <w:szCs w:val="18"/>
                <w:lang w:val="en-GB"/>
              </w:rPr>
              <w:t>Futures</w:t>
            </w: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Bond Future</w:t>
            </w:r>
          </w:p>
        </w:tc>
        <w:tc>
          <w:tcPr>
            <w:tcW w:w="6269" w:type="dxa"/>
            <w:shd w:val="clear" w:color="auto" w:fill="auto"/>
          </w:tcPr>
          <w:p w:rsidR="00236235" w:rsidRPr="00696ABF" w:rsidRDefault="008C2B35" w:rsidP="008C2B35">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r w:rsidR="00236235" w:rsidRPr="00696ABF">
              <w:rPr>
                <w:rFonts w:cs="Arial"/>
                <w:szCs w:val="18"/>
                <w:lang w:val="en-GB"/>
              </w:rPr>
              <w:t xml:space="preserve"> * </w:t>
            </w:r>
            <w:r w:rsidRPr="00696ABF">
              <w:rPr>
                <w:rFonts w:cs="Arial"/>
                <w:szCs w:val="18"/>
                <w:lang w:val="en-GB"/>
              </w:rPr>
              <w:t>market price of the cheapest-to-deliver reference bond</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C75CA4">
            <w:pPr>
              <w:jc w:val="left"/>
              <w:rPr>
                <w:rFonts w:cs="Arial"/>
                <w:szCs w:val="18"/>
                <w:lang w:val="en-GB"/>
              </w:rPr>
            </w:pPr>
            <w:r w:rsidRPr="00696ABF">
              <w:rPr>
                <w:rFonts w:cs="Arial"/>
                <w:szCs w:val="18"/>
                <w:lang w:val="en-GB"/>
              </w:rPr>
              <w:t>Interest Rate Future</w:t>
            </w:r>
          </w:p>
        </w:tc>
        <w:tc>
          <w:tcPr>
            <w:tcW w:w="6269" w:type="dxa"/>
            <w:shd w:val="clear" w:color="auto" w:fill="auto"/>
          </w:tcPr>
          <w:p w:rsidR="00236235" w:rsidRPr="00696ABF" w:rsidRDefault="008C2B35" w:rsidP="00C75CA4">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C75CA4">
            <w:pPr>
              <w:jc w:val="left"/>
              <w:rPr>
                <w:rFonts w:cs="Arial"/>
                <w:szCs w:val="18"/>
                <w:lang w:val="en-GB"/>
              </w:rPr>
            </w:pPr>
            <w:r w:rsidRPr="00696ABF">
              <w:rPr>
                <w:rFonts w:cs="Arial"/>
                <w:szCs w:val="18"/>
                <w:lang w:val="en-GB"/>
              </w:rPr>
              <w:t>Currency Future</w:t>
            </w:r>
          </w:p>
        </w:tc>
        <w:tc>
          <w:tcPr>
            <w:tcW w:w="6269" w:type="dxa"/>
            <w:shd w:val="clear" w:color="auto" w:fill="auto"/>
          </w:tcPr>
          <w:p w:rsidR="00236235" w:rsidRPr="00696ABF" w:rsidRDefault="008C2B35" w:rsidP="00C75CA4">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C75CA4">
            <w:pPr>
              <w:jc w:val="left"/>
              <w:rPr>
                <w:rFonts w:cs="Arial"/>
                <w:szCs w:val="18"/>
                <w:lang w:val="en-GB"/>
              </w:rPr>
            </w:pPr>
            <w:r w:rsidRPr="00696ABF">
              <w:rPr>
                <w:rFonts w:cs="Arial"/>
                <w:szCs w:val="18"/>
                <w:lang w:val="en-GB"/>
              </w:rPr>
              <w:t>Equity future</w:t>
            </w:r>
          </w:p>
        </w:tc>
        <w:tc>
          <w:tcPr>
            <w:tcW w:w="6269" w:type="dxa"/>
            <w:shd w:val="clear" w:color="auto" w:fill="auto"/>
          </w:tcPr>
          <w:p w:rsidR="00236235" w:rsidRPr="00696ABF" w:rsidRDefault="008C2B35" w:rsidP="008C2B35">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r w:rsidR="00236235" w:rsidRPr="00696ABF">
              <w:rPr>
                <w:rFonts w:cs="Arial"/>
                <w:szCs w:val="18"/>
                <w:lang w:val="en-GB"/>
              </w:rPr>
              <w:t xml:space="preserve">  * </w:t>
            </w:r>
            <w:r w:rsidRPr="00696ABF">
              <w:rPr>
                <w:rFonts w:cs="Arial"/>
                <w:szCs w:val="18"/>
                <w:lang w:val="en-GB"/>
              </w:rPr>
              <w:t>market price of underlying equity share</w:t>
            </w:r>
          </w:p>
        </w:tc>
      </w:tr>
      <w:tr w:rsidR="00236235" w:rsidRPr="00D345CD" w:rsidTr="008C2B35">
        <w:trPr>
          <w:trHeight w:val="303"/>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Index Future</w:t>
            </w:r>
          </w:p>
        </w:tc>
        <w:tc>
          <w:tcPr>
            <w:tcW w:w="6269" w:type="dxa"/>
            <w:shd w:val="clear" w:color="auto" w:fill="auto"/>
          </w:tcPr>
          <w:p w:rsidR="00236235" w:rsidRPr="00696ABF" w:rsidRDefault="008C2B35" w:rsidP="008C2B35">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r w:rsidR="00236235" w:rsidRPr="00696ABF">
              <w:rPr>
                <w:rFonts w:cs="Arial"/>
                <w:szCs w:val="18"/>
                <w:lang w:val="en-GB"/>
              </w:rPr>
              <w:t xml:space="preserve">  * </w:t>
            </w:r>
            <w:r w:rsidRPr="00696ABF">
              <w:rPr>
                <w:rFonts w:cs="Arial"/>
                <w:szCs w:val="18"/>
                <w:lang w:val="en-GB"/>
              </w:rPr>
              <w:t>index level</w:t>
            </w:r>
          </w:p>
        </w:tc>
      </w:tr>
      <w:tr w:rsidR="00236235" w:rsidRPr="00D345CD" w:rsidTr="008C2B35">
        <w:tc>
          <w:tcPr>
            <w:tcW w:w="817" w:type="dxa"/>
            <w:vMerge w:val="restart"/>
            <w:shd w:val="clear" w:color="auto" w:fill="auto"/>
            <w:textDirection w:val="btLr"/>
            <w:vAlign w:val="center"/>
          </w:tcPr>
          <w:p w:rsidR="008C2B35" w:rsidRPr="00696ABF" w:rsidRDefault="008C2B35" w:rsidP="008C2B35">
            <w:pPr>
              <w:ind w:left="113" w:right="113"/>
              <w:jc w:val="center"/>
              <w:rPr>
                <w:rFonts w:cs="Arial"/>
                <w:szCs w:val="18"/>
                <w:lang w:val="en-GB"/>
              </w:rPr>
            </w:pPr>
            <w:r w:rsidRPr="00696ABF">
              <w:rPr>
                <w:rFonts w:cs="Arial"/>
                <w:szCs w:val="18"/>
                <w:lang w:val="en-GB"/>
              </w:rPr>
              <w:t xml:space="preserve">Plain Vanilla </w:t>
            </w:r>
            <w:r w:rsidR="00236235" w:rsidRPr="00696ABF">
              <w:rPr>
                <w:rFonts w:cs="Arial"/>
                <w:szCs w:val="18"/>
                <w:lang w:val="en-GB"/>
              </w:rPr>
              <w:t>Options</w:t>
            </w:r>
          </w:p>
          <w:p w:rsidR="00236235" w:rsidRPr="00696ABF" w:rsidRDefault="00236235" w:rsidP="008C2B35">
            <w:pPr>
              <w:ind w:left="113" w:right="113"/>
              <w:jc w:val="center"/>
              <w:rPr>
                <w:rFonts w:cs="Arial"/>
                <w:szCs w:val="18"/>
                <w:lang w:val="en-GB"/>
              </w:rPr>
            </w:pPr>
            <w:r w:rsidRPr="00696ABF">
              <w:rPr>
                <w:rFonts w:cs="Arial"/>
                <w:szCs w:val="18"/>
                <w:lang w:val="en-GB"/>
              </w:rPr>
              <w:t>(</w:t>
            </w:r>
            <w:r w:rsidR="008C2B35" w:rsidRPr="00696ABF">
              <w:rPr>
                <w:rFonts w:cs="Arial"/>
                <w:szCs w:val="18"/>
                <w:lang w:val="en-GB"/>
              </w:rPr>
              <w:t>bought/sold puts and calls)</w:t>
            </w: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Plain Vanilla Bond Option</w:t>
            </w:r>
          </w:p>
        </w:tc>
        <w:tc>
          <w:tcPr>
            <w:tcW w:w="6269" w:type="dxa"/>
            <w:shd w:val="clear" w:color="auto" w:fill="auto"/>
          </w:tcPr>
          <w:p w:rsidR="00236235" w:rsidRPr="00696ABF" w:rsidRDefault="00236235" w:rsidP="00A071BF">
            <w:pPr>
              <w:jc w:val="left"/>
              <w:rPr>
                <w:rFonts w:cs="Arial"/>
                <w:szCs w:val="18"/>
                <w:lang w:val="en-GB"/>
              </w:rPr>
            </w:pPr>
            <w:r w:rsidRPr="00696ABF">
              <w:rPr>
                <w:rFonts w:cs="Arial"/>
                <w:szCs w:val="18"/>
                <w:lang w:val="en-GB"/>
              </w:rPr>
              <w:t>No</w:t>
            </w:r>
            <w:r w:rsidR="00A071BF" w:rsidRPr="00696ABF">
              <w:rPr>
                <w:rFonts w:cs="Arial"/>
                <w:szCs w:val="18"/>
                <w:lang w:val="en-GB"/>
              </w:rPr>
              <w:t>tional contract va</w:t>
            </w:r>
            <w:bookmarkStart w:id="0" w:name="_GoBack"/>
            <w:bookmarkEnd w:id="0"/>
            <w:r w:rsidR="00A071BF" w:rsidRPr="00696ABF">
              <w:rPr>
                <w:rFonts w:cs="Arial"/>
                <w:szCs w:val="18"/>
                <w:lang w:val="en-GB"/>
              </w:rPr>
              <w:t>lue</w:t>
            </w:r>
            <w:r w:rsidRPr="00696ABF">
              <w:rPr>
                <w:rFonts w:cs="Arial"/>
                <w:szCs w:val="18"/>
                <w:lang w:val="en-GB"/>
              </w:rPr>
              <w:t xml:space="preserve"> * </w:t>
            </w:r>
            <w:r w:rsidR="00A071BF" w:rsidRPr="00696ABF">
              <w:rPr>
                <w:rFonts w:cs="Arial"/>
                <w:szCs w:val="18"/>
                <w:lang w:val="en-GB"/>
              </w:rPr>
              <w:t>market value of underlying reference bond</w:t>
            </w:r>
            <w:r w:rsidRPr="00696ABF">
              <w:rPr>
                <w:rFonts w:cs="Arial"/>
                <w:szCs w:val="18"/>
                <w:lang w:val="en-GB"/>
              </w:rPr>
              <w:t xml:space="preserve"> * delta</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Plain Vanilla Equity Option</w:t>
            </w:r>
          </w:p>
        </w:tc>
        <w:tc>
          <w:tcPr>
            <w:tcW w:w="6269" w:type="dxa"/>
            <w:shd w:val="clear" w:color="auto" w:fill="auto"/>
          </w:tcPr>
          <w:p w:rsidR="00236235" w:rsidRPr="00696ABF" w:rsidRDefault="008C2B35" w:rsidP="00A071BF">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r w:rsidR="00236235" w:rsidRPr="00696ABF">
              <w:rPr>
                <w:rFonts w:cs="Arial"/>
                <w:szCs w:val="18"/>
                <w:lang w:val="en-GB"/>
              </w:rPr>
              <w:t xml:space="preserve"> *</w:t>
            </w:r>
            <w:r w:rsidR="00A071BF" w:rsidRPr="00696ABF">
              <w:rPr>
                <w:rFonts w:cs="Arial"/>
                <w:szCs w:val="18"/>
                <w:lang w:val="en-GB"/>
              </w:rPr>
              <w:t>market value of underlying equity share</w:t>
            </w:r>
            <w:r w:rsidR="00236235" w:rsidRPr="00696ABF">
              <w:rPr>
                <w:rFonts w:cs="Arial"/>
                <w:szCs w:val="18"/>
                <w:lang w:val="en-GB"/>
              </w:rPr>
              <w:t xml:space="preserve"> * delta</w:t>
            </w:r>
          </w:p>
        </w:tc>
      </w:tr>
      <w:tr w:rsidR="00236235" w:rsidRPr="00696ABF"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Plain Vanilla Interest Rate Option</w:t>
            </w:r>
          </w:p>
        </w:tc>
        <w:tc>
          <w:tcPr>
            <w:tcW w:w="6269" w:type="dxa"/>
            <w:shd w:val="clear" w:color="auto" w:fill="auto"/>
          </w:tcPr>
          <w:p w:rsidR="00236235" w:rsidRPr="00696ABF" w:rsidRDefault="00553540" w:rsidP="00C75CA4">
            <w:pPr>
              <w:jc w:val="left"/>
              <w:rPr>
                <w:rFonts w:cs="Arial"/>
                <w:szCs w:val="18"/>
                <w:lang w:val="en-GB"/>
              </w:rPr>
            </w:pPr>
            <w:r w:rsidRPr="00696ABF">
              <w:rPr>
                <w:rFonts w:cs="Arial"/>
                <w:szCs w:val="18"/>
                <w:lang w:val="en-GB"/>
              </w:rPr>
              <w:t xml:space="preserve">Notional contract value </w:t>
            </w:r>
            <w:r w:rsidR="00236235" w:rsidRPr="00696ABF">
              <w:rPr>
                <w:rFonts w:cs="Arial"/>
                <w:szCs w:val="18"/>
                <w:lang w:val="en-GB"/>
              </w:rPr>
              <w:t>* delta</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Plain Vanilla Currency Option</w:t>
            </w:r>
          </w:p>
        </w:tc>
        <w:tc>
          <w:tcPr>
            <w:tcW w:w="6269" w:type="dxa"/>
            <w:shd w:val="clear" w:color="auto" w:fill="auto"/>
          </w:tcPr>
          <w:p w:rsidR="00236235" w:rsidRPr="00696ABF" w:rsidRDefault="00553540" w:rsidP="00553540">
            <w:pPr>
              <w:jc w:val="left"/>
              <w:rPr>
                <w:rFonts w:cs="Arial"/>
                <w:szCs w:val="18"/>
                <w:lang w:val="en-GB"/>
              </w:rPr>
            </w:pPr>
            <w:r w:rsidRPr="00696ABF">
              <w:rPr>
                <w:rFonts w:cs="Arial"/>
                <w:szCs w:val="18"/>
                <w:lang w:val="en-GB"/>
              </w:rPr>
              <w:t>Notional contract value of currency leg(s)</w:t>
            </w:r>
            <w:r w:rsidR="00236235" w:rsidRPr="00696ABF">
              <w:rPr>
                <w:rFonts w:cs="Arial"/>
                <w:szCs w:val="18"/>
                <w:lang w:val="en-GB"/>
              </w:rPr>
              <w:t xml:space="preserve"> * delta</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Plain Vanilla Index Option</w:t>
            </w:r>
          </w:p>
        </w:tc>
        <w:tc>
          <w:tcPr>
            <w:tcW w:w="6269" w:type="dxa"/>
            <w:shd w:val="clear" w:color="auto" w:fill="auto"/>
          </w:tcPr>
          <w:p w:rsidR="00236235" w:rsidRPr="00696ABF" w:rsidRDefault="008C2B35" w:rsidP="00C75CA4">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r w:rsidR="00236235" w:rsidRPr="00696ABF">
              <w:rPr>
                <w:rFonts w:cs="Arial"/>
                <w:szCs w:val="18"/>
                <w:lang w:val="en-GB"/>
              </w:rPr>
              <w:t xml:space="preserve"> * </w:t>
            </w:r>
            <w:r w:rsidR="00553540" w:rsidRPr="00696ABF">
              <w:rPr>
                <w:rFonts w:cs="Arial"/>
                <w:szCs w:val="18"/>
                <w:lang w:val="en-GB"/>
              </w:rPr>
              <w:t>index level</w:t>
            </w:r>
            <w:r w:rsidR="00236235" w:rsidRPr="00696ABF">
              <w:rPr>
                <w:rFonts w:cs="Arial"/>
                <w:szCs w:val="18"/>
                <w:lang w:val="en-GB"/>
              </w:rPr>
              <w:t xml:space="preserve"> * delta</w:t>
            </w:r>
          </w:p>
          <w:p w:rsidR="00236235" w:rsidRPr="00696ABF" w:rsidRDefault="00236235" w:rsidP="00C75CA4">
            <w:pPr>
              <w:jc w:val="left"/>
              <w:rPr>
                <w:rFonts w:cs="Arial"/>
                <w:szCs w:val="18"/>
                <w:lang w:val="en-GB"/>
              </w:rPr>
            </w:pPr>
          </w:p>
        </w:tc>
      </w:tr>
      <w:tr w:rsidR="00236235" w:rsidRPr="00D345CD" w:rsidTr="00236235">
        <w:trPr>
          <w:trHeight w:val="402"/>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8C2B35" w:rsidP="008C2B35">
            <w:pPr>
              <w:jc w:val="left"/>
              <w:rPr>
                <w:rFonts w:cs="Arial"/>
                <w:szCs w:val="18"/>
                <w:lang w:val="en-GB"/>
              </w:rPr>
            </w:pPr>
            <w:r w:rsidRPr="00696ABF">
              <w:rPr>
                <w:rFonts w:cs="Arial"/>
                <w:szCs w:val="18"/>
                <w:lang w:val="en-GB"/>
              </w:rPr>
              <w:t>Plain Vanilla Options on Futures</w:t>
            </w:r>
          </w:p>
        </w:tc>
        <w:tc>
          <w:tcPr>
            <w:tcW w:w="6269" w:type="dxa"/>
            <w:shd w:val="clear" w:color="auto" w:fill="auto"/>
          </w:tcPr>
          <w:p w:rsidR="00236235" w:rsidRPr="00696ABF" w:rsidRDefault="008C2B35" w:rsidP="00B01A64">
            <w:pPr>
              <w:jc w:val="left"/>
              <w:rPr>
                <w:rFonts w:cs="Arial"/>
                <w:szCs w:val="18"/>
                <w:lang w:val="en-GB"/>
              </w:rPr>
            </w:pPr>
            <w:r w:rsidRPr="00696ABF">
              <w:rPr>
                <w:rFonts w:cs="Arial"/>
                <w:szCs w:val="18"/>
                <w:lang w:val="en-GB"/>
              </w:rPr>
              <w:t>Number of contracts</w:t>
            </w:r>
            <w:r w:rsidR="00236235" w:rsidRPr="00696ABF">
              <w:rPr>
                <w:rFonts w:cs="Arial"/>
                <w:szCs w:val="18"/>
                <w:lang w:val="en-GB"/>
              </w:rPr>
              <w:t xml:space="preserve"> * </w:t>
            </w:r>
            <w:r w:rsidRPr="00696ABF">
              <w:rPr>
                <w:rFonts w:cs="Arial"/>
                <w:szCs w:val="18"/>
                <w:lang w:val="en-GB"/>
              </w:rPr>
              <w:t>notional contract size</w:t>
            </w:r>
            <w:r w:rsidR="00236235" w:rsidRPr="00696ABF">
              <w:rPr>
                <w:rFonts w:cs="Arial"/>
                <w:szCs w:val="18"/>
                <w:lang w:val="en-GB"/>
              </w:rPr>
              <w:t xml:space="preserve">  *  </w:t>
            </w:r>
            <w:r w:rsidR="00B01A64" w:rsidRPr="00696ABF">
              <w:rPr>
                <w:rFonts w:cs="Arial"/>
                <w:szCs w:val="18"/>
                <w:lang w:val="en-GB"/>
              </w:rPr>
              <w:t>market value of underlying asset</w:t>
            </w:r>
            <w:r w:rsidR="00236235" w:rsidRPr="00696ABF">
              <w:rPr>
                <w:rFonts w:cs="Arial"/>
                <w:szCs w:val="18"/>
                <w:lang w:val="en-GB"/>
              </w:rPr>
              <w:t xml:space="preserve"> * delta</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236235" w:rsidP="00C75CA4">
            <w:pPr>
              <w:jc w:val="left"/>
              <w:rPr>
                <w:rFonts w:cs="Arial"/>
                <w:szCs w:val="18"/>
                <w:lang w:val="en-GB"/>
              </w:rPr>
            </w:pPr>
            <w:r w:rsidRPr="00696ABF">
              <w:rPr>
                <w:rFonts w:cs="Arial"/>
                <w:szCs w:val="18"/>
                <w:lang w:val="en-GB"/>
              </w:rPr>
              <w:t>Swaptions</w:t>
            </w:r>
          </w:p>
        </w:tc>
        <w:tc>
          <w:tcPr>
            <w:tcW w:w="6269" w:type="dxa"/>
            <w:shd w:val="clear" w:color="auto" w:fill="auto"/>
          </w:tcPr>
          <w:p w:rsidR="00236235" w:rsidRPr="00696ABF" w:rsidRDefault="00B01A64" w:rsidP="00B01A64">
            <w:pPr>
              <w:jc w:val="left"/>
              <w:rPr>
                <w:rFonts w:cs="Arial"/>
                <w:szCs w:val="18"/>
                <w:lang w:val="en-GB"/>
              </w:rPr>
            </w:pPr>
            <w:r w:rsidRPr="00696ABF">
              <w:rPr>
                <w:rFonts w:cs="Arial"/>
                <w:szCs w:val="18"/>
                <w:lang w:val="en-GB"/>
              </w:rPr>
              <w:t>Reference swap commitment conversion amount</w:t>
            </w:r>
            <w:r w:rsidR="00236235" w:rsidRPr="00696ABF">
              <w:rPr>
                <w:rFonts w:cs="Arial"/>
                <w:szCs w:val="18"/>
                <w:lang w:val="en-GB"/>
              </w:rPr>
              <w:t xml:space="preserve"> * delta</w:t>
            </w:r>
          </w:p>
        </w:tc>
      </w:tr>
      <w:tr w:rsidR="00236235" w:rsidRPr="00D345CD" w:rsidTr="00236235">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236235" w:rsidP="008C2B35">
            <w:pPr>
              <w:jc w:val="left"/>
              <w:rPr>
                <w:rFonts w:cs="Arial"/>
                <w:szCs w:val="18"/>
                <w:lang w:val="en-GB"/>
              </w:rPr>
            </w:pPr>
            <w:r w:rsidRPr="00696ABF">
              <w:rPr>
                <w:rFonts w:cs="Arial"/>
                <w:szCs w:val="18"/>
                <w:lang w:val="en-GB"/>
              </w:rPr>
              <w:t xml:space="preserve">Warrants </w:t>
            </w:r>
            <w:r w:rsidR="008C2B35" w:rsidRPr="00696ABF">
              <w:rPr>
                <w:rFonts w:cs="Arial"/>
                <w:szCs w:val="18"/>
                <w:lang w:val="en-GB"/>
              </w:rPr>
              <w:t>and Right</w:t>
            </w:r>
            <w:r w:rsidRPr="00696ABF">
              <w:rPr>
                <w:rFonts w:cs="Arial"/>
                <w:szCs w:val="18"/>
                <w:lang w:val="en-GB"/>
              </w:rPr>
              <w:t>s</w:t>
            </w:r>
          </w:p>
        </w:tc>
        <w:tc>
          <w:tcPr>
            <w:tcW w:w="6269" w:type="dxa"/>
            <w:shd w:val="clear" w:color="auto" w:fill="auto"/>
          </w:tcPr>
          <w:p w:rsidR="00236235" w:rsidRPr="00696ABF" w:rsidRDefault="00236235" w:rsidP="00B01A64">
            <w:pPr>
              <w:jc w:val="left"/>
              <w:rPr>
                <w:rFonts w:cs="Arial"/>
                <w:szCs w:val="18"/>
                <w:lang w:val="en-GB"/>
              </w:rPr>
            </w:pPr>
            <w:r w:rsidRPr="00696ABF">
              <w:rPr>
                <w:rFonts w:cs="Arial"/>
                <w:szCs w:val="18"/>
                <w:lang w:val="en-GB"/>
              </w:rPr>
              <w:t>N</w:t>
            </w:r>
            <w:r w:rsidR="00B01A64" w:rsidRPr="00696ABF">
              <w:rPr>
                <w:rFonts w:cs="Arial"/>
                <w:szCs w:val="18"/>
                <w:lang w:val="en-GB"/>
              </w:rPr>
              <w:t>umber of shares/bonds</w:t>
            </w:r>
            <w:r w:rsidRPr="00696ABF">
              <w:rPr>
                <w:rFonts w:cs="Arial"/>
                <w:szCs w:val="18"/>
                <w:lang w:val="en-GB"/>
              </w:rPr>
              <w:t xml:space="preserve"> * </w:t>
            </w:r>
            <w:r w:rsidR="00B01A64" w:rsidRPr="00696ABF">
              <w:rPr>
                <w:rFonts w:cs="Arial"/>
                <w:szCs w:val="18"/>
                <w:lang w:val="en-GB"/>
              </w:rPr>
              <w:t>market value of underlying reference instrument</w:t>
            </w:r>
            <w:r w:rsidRPr="00696ABF">
              <w:rPr>
                <w:rFonts w:cs="Arial"/>
                <w:szCs w:val="18"/>
                <w:lang w:val="en-GB"/>
              </w:rPr>
              <w:t xml:space="preserve"> * delta</w:t>
            </w:r>
          </w:p>
        </w:tc>
      </w:tr>
      <w:tr w:rsidR="00236235" w:rsidRPr="00D345CD" w:rsidTr="004608B4">
        <w:trPr>
          <w:trHeight w:val="230"/>
        </w:trPr>
        <w:tc>
          <w:tcPr>
            <w:tcW w:w="817" w:type="dxa"/>
            <w:vMerge w:val="restart"/>
            <w:shd w:val="clear" w:color="auto" w:fill="auto"/>
            <w:textDirection w:val="btLr"/>
            <w:vAlign w:val="center"/>
          </w:tcPr>
          <w:p w:rsidR="00236235" w:rsidRPr="00696ABF" w:rsidRDefault="004608B4" w:rsidP="004608B4">
            <w:pPr>
              <w:ind w:left="113" w:right="113"/>
              <w:jc w:val="center"/>
              <w:rPr>
                <w:rFonts w:cs="Arial"/>
                <w:szCs w:val="18"/>
                <w:lang w:val="en-GB"/>
              </w:rPr>
            </w:pPr>
            <w:r w:rsidRPr="00696ABF">
              <w:rPr>
                <w:rFonts w:cs="Arial"/>
                <w:szCs w:val="18"/>
                <w:lang w:val="en-GB"/>
              </w:rPr>
              <w:t>S</w:t>
            </w:r>
            <w:r w:rsidR="00236235" w:rsidRPr="00696ABF">
              <w:rPr>
                <w:rFonts w:cs="Arial"/>
                <w:szCs w:val="18"/>
                <w:lang w:val="en-GB"/>
              </w:rPr>
              <w:t>waps</w:t>
            </w:r>
          </w:p>
        </w:tc>
        <w:tc>
          <w:tcPr>
            <w:tcW w:w="2126" w:type="dxa"/>
            <w:shd w:val="clear" w:color="auto" w:fill="auto"/>
          </w:tcPr>
          <w:p w:rsidR="00236235" w:rsidRPr="00696ABF" w:rsidRDefault="004608B4" w:rsidP="00453F97">
            <w:pPr>
              <w:jc w:val="left"/>
              <w:rPr>
                <w:rFonts w:cs="Arial"/>
                <w:szCs w:val="18"/>
                <w:lang w:val="en-GB"/>
              </w:rPr>
            </w:pPr>
            <w:r w:rsidRPr="00696ABF">
              <w:rPr>
                <w:rFonts w:cs="Arial"/>
                <w:szCs w:val="18"/>
                <w:lang w:val="en-GB"/>
              </w:rPr>
              <w:t xml:space="preserve">Plain Vanilla Fixed/Floating Rate Interest </w:t>
            </w:r>
            <w:r w:rsidR="00453F97">
              <w:rPr>
                <w:rFonts w:cs="Arial"/>
                <w:szCs w:val="18"/>
                <w:lang w:val="en-GB"/>
              </w:rPr>
              <w:t>R</w:t>
            </w:r>
            <w:r w:rsidRPr="00696ABF">
              <w:rPr>
                <w:rFonts w:cs="Arial"/>
                <w:szCs w:val="18"/>
                <w:lang w:val="en-GB"/>
              </w:rPr>
              <w:t>ate and Inflation Swap</w:t>
            </w:r>
          </w:p>
        </w:tc>
        <w:tc>
          <w:tcPr>
            <w:tcW w:w="6269" w:type="dxa"/>
            <w:shd w:val="clear" w:color="auto" w:fill="auto"/>
          </w:tcPr>
          <w:p w:rsidR="00236235" w:rsidRPr="00696ABF" w:rsidRDefault="004608B4" w:rsidP="004608B4">
            <w:pPr>
              <w:jc w:val="left"/>
              <w:rPr>
                <w:rFonts w:cs="Arial"/>
                <w:szCs w:val="18"/>
                <w:lang w:val="en-GB"/>
              </w:rPr>
            </w:pPr>
            <w:r w:rsidRPr="00696ABF">
              <w:rPr>
                <w:rFonts w:cs="Arial"/>
                <w:szCs w:val="18"/>
                <w:lang w:val="en-GB"/>
              </w:rPr>
              <w:t>Market value of underlying</w:t>
            </w:r>
            <w:r w:rsidR="00236235" w:rsidRPr="00696ABF">
              <w:rPr>
                <w:rFonts w:cs="Arial"/>
                <w:szCs w:val="18"/>
                <w:lang w:val="en-GB"/>
              </w:rPr>
              <w:t xml:space="preserve"> (</w:t>
            </w:r>
            <w:r w:rsidRPr="00696ABF">
              <w:rPr>
                <w:rFonts w:cs="Arial"/>
                <w:szCs w:val="18"/>
                <w:lang w:val="en-GB"/>
              </w:rPr>
              <w:t>the notional value of the fixed leg may also be applied</w:t>
            </w:r>
            <w:r w:rsidR="00236235" w:rsidRPr="00696ABF">
              <w:rPr>
                <w:rFonts w:cs="Arial"/>
                <w:szCs w:val="18"/>
                <w:lang w:val="en-GB"/>
              </w:rPr>
              <w:t>)</w:t>
            </w:r>
          </w:p>
        </w:tc>
      </w:tr>
      <w:tr w:rsidR="00236235" w:rsidRPr="00D345CD" w:rsidTr="00236235">
        <w:trPr>
          <w:trHeight w:val="218"/>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4608B4" w:rsidP="00C75CA4">
            <w:pPr>
              <w:jc w:val="left"/>
              <w:rPr>
                <w:rFonts w:cs="Arial"/>
                <w:szCs w:val="18"/>
                <w:lang w:val="en-GB"/>
              </w:rPr>
            </w:pPr>
            <w:r w:rsidRPr="00696ABF">
              <w:rPr>
                <w:rFonts w:cs="Arial"/>
                <w:szCs w:val="18"/>
                <w:lang w:val="en-GB"/>
              </w:rPr>
              <w:t>Currency Swap</w:t>
            </w:r>
          </w:p>
        </w:tc>
        <w:tc>
          <w:tcPr>
            <w:tcW w:w="6269" w:type="dxa"/>
            <w:shd w:val="clear" w:color="auto" w:fill="auto"/>
          </w:tcPr>
          <w:p w:rsidR="00236235" w:rsidRPr="00696ABF" w:rsidRDefault="00236235" w:rsidP="004608B4">
            <w:pPr>
              <w:jc w:val="left"/>
              <w:rPr>
                <w:rFonts w:cs="Arial"/>
                <w:szCs w:val="18"/>
                <w:lang w:val="en-GB"/>
              </w:rPr>
            </w:pPr>
            <w:r w:rsidRPr="00696ABF">
              <w:rPr>
                <w:rFonts w:cs="Arial"/>
                <w:szCs w:val="18"/>
                <w:lang w:val="en-GB"/>
              </w:rPr>
              <w:t>No</w:t>
            </w:r>
            <w:r w:rsidR="004608B4" w:rsidRPr="00696ABF">
              <w:rPr>
                <w:rFonts w:cs="Arial"/>
                <w:szCs w:val="18"/>
                <w:lang w:val="en-GB"/>
              </w:rPr>
              <w:t>tional value of the currency leg(s)</w:t>
            </w:r>
          </w:p>
        </w:tc>
      </w:tr>
      <w:tr w:rsidR="00236235" w:rsidRPr="00D345CD" w:rsidTr="00236235">
        <w:trPr>
          <w:trHeight w:val="230"/>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236235" w:rsidP="004608B4">
            <w:pPr>
              <w:jc w:val="left"/>
              <w:rPr>
                <w:rFonts w:cs="Arial"/>
                <w:szCs w:val="18"/>
                <w:lang w:val="en-GB"/>
              </w:rPr>
            </w:pPr>
            <w:r w:rsidRPr="00696ABF">
              <w:rPr>
                <w:rFonts w:cs="Arial"/>
                <w:szCs w:val="18"/>
                <w:lang w:val="en-GB"/>
              </w:rPr>
              <w:t>Cross</w:t>
            </w:r>
            <w:r w:rsidR="004608B4" w:rsidRPr="00696ABF">
              <w:rPr>
                <w:rFonts w:cs="Arial"/>
                <w:szCs w:val="18"/>
                <w:lang w:val="en-GB"/>
              </w:rPr>
              <w:t>-C</w:t>
            </w:r>
            <w:r w:rsidRPr="00696ABF">
              <w:rPr>
                <w:rFonts w:cs="Arial"/>
                <w:szCs w:val="18"/>
                <w:lang w:val="en-GB"/>
              </w:rPr>
              <w:t>urrency Interest Rate Swaps</w:t>
            </w:r>
          </w:p>
        </w:tc>
        <w:tc>
          <w:tcPr>
            <w:tcW w:w="6269" w:type="dxa"/>
            <w:shd w:val="clear" w:color="auto" w:fill="auto"/>
          </w:tcPr>
          <w:p w:rsidR="00236235" w:rsidRPr="00696ABF" w:rsidRDefault="004608B4" w:rsidP="00C75CA4">
            <w:pPr>
              <w:jc w:val="left"/>
              <w:rPr>
                <w:rFonts w:cs="Arial"/>
                <w:szCs w:val="18"/>
                <w:lang w:val="en-GB"/>
              </w:rPr>
            </w:pPr>
            <w:r w:rsidRPr="00696ABF">
              <w:rPr>
                <w:rFonts w:cs="Arial"/>
                <w:szCs w:val="18"/>
                <w:lang w:val="en-GB"/>
              </w:rPr>
              <w:t>Notional value of the currency leg(s)</w:t>
            </w:r>
          </w:p>
        </w:tc>
      </w:tr>
      <w:tr w:rsidR="00236235" w:rsidRPr="00D345CD" w:rsidTr="00236235">
        <w:trPr>
          <w:trHeight w:val="173"/>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236235" w:rsidP="00C75CA4">
            <w:pPr>
              <w:jc w:val="left"/>
              <w:rPr>
                <w:rFonts w:cs="Arial"/>
                <w:szCs w:val="18"/>
                <w:lang w:val="en-GB"/>
              </w:rPr>
            </w:pPr>
            <w:r w:rsidRPr="00696ABF">
              <w:rPr>
                <w:rFonts w:cs="Arial"/>
                <w:szCs w:val="18"/>
                <w:lang w:val="en-GB"/>
              </w:rPr>
              <w:t>Basic Total Return Swap</w:t>
            </w:r>
          </w:p>
        </w:tc>
        <w:tc>
          <w:tcPr>
            <w:tcW w:w="6269" w:type="dxa"/>
            <w:shd w:val="clear" w:color="auto" w:fill="auto"/>
          </w:tcPr>
          <w:p w:rsidR="00236235" w:rsidRPr="00696ABF" w:rsidRDefault="004608B4" w:rsidP="004608B4">
            <w:pPr>
              <w:jc w:val="left"/>
              <w:rPr>
                <w:rFonts w:cs="Arial"/>
                <w:szCs w:val="18"/>
                <w:lang w:val="en-GB"/>
              </w:rPr>
            </w:pPr>
            <w:r w:rsidRPr="00696ABF">
              <w:rPr>
                <w:rFonts w:cs="Arial"/>
                <w:szCs w:val="18"/>
                <w:lang w:val="en-GB"/>
              </w:rPr>
              <w:t>Market value of the reference assets</w:t>
            </w:r>
          </w:p>
        </w:tc>
      </w:tr>
      <w:tr w:rsidR="00236235" w:rsidRPr="00D345CD" w:rsidTr="00236235">
        <w:trPr>
          <w:trHeight w:val="196"/>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236235" w:rsidP="00C75CA4">
            <w:pPr>
              <w:jc w:val="left"/>
              <w:rPr>
                <w:rFonts w:cs="Arial"/>
                <w:szCs w:val="18"/>
                <w:lang w:val="en-GB"/>
              </w:rPr>
            </w:pPr>
            <w:r w:rsidRPr="00696ABF">
              <w:rPr>
                <w:rFonts w:cs="Arial"/>
                <w:szCs w:val="18"/>
                <w:lang w:val="en-GB"/>
              </w:rPr>
              <w:t>Non-Basic Total Return Swap</w:t>
            </w:r>
          </w:p>
        </w:tc>
        <w:tc>
          <w:tcPr>
            <w:tcW w:w="6269" w:type="dxa"/>
            <w:shd w:val="clear" w:color="auto" w:fill="auto"/>
          </w:tcPr>
          <w:p w:rsidR="00236235" w:rsidRPr="00696ABF" w:rsidRDefault="00E12C7B" w:rsidP="00C75CA4">
            <w:pPr>
              <w:jc w:val="left"/>
              <w:rPr>
                <w:rFonts w:cs="Arial"/>
                <w:szCs w:val="18"/>
                <w:lang w:val="en-GB"/>
              </w:rPr>
            </w:pPr>
            <w:r w:rsidRPr="00696ABF">
              <w:rPr>
                <w:rFonts w:cs="Arial"/>
                <w:szCs w:val="18"/>
                <w:lang w:val="en-GB"/>
              </w:rPr>
              <w:t xml:space="preserve">Cumulative underlying market value of both legs of the </w:t>
            </w:r>
            <w:r w:rsidR="00236235" w:rsidRPr="00696ABF">
              <w:rPr>
                <w:rFonts w:cs="Arial"/>
                <w:szCs w:val="18"/>
                <w:lang w:val="en-GB"/>
              </w:rPr>
              <w:t>total return swap</w:t>
            </w:r>
          </w:p>
          <w:p w:rsidR="00236235" w:rsidRPr="00696ABF" w:rsidRDefault="00236235" w:rsidP="00C75CA4">
            <w:pPr>
              <w:jc w:val="left"/>
              <w:rPr>
                <w:rFonts w:cs="Arial"/>
                <w:szCs w:val="18"/>
                <w:lang w:val="en-GB"/>
              </w:rPr>
            </w:pPr>
          </w:p>
        </w:tc>
      </w:tr>
      <w:tr w:rsidR="00236235" w:rsidRPr="00D345CD" w:rsidTr="00236235">
        <w:trPr>
          <w:trHeight w:val="207"/>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4608B4" w:rsidP="004608B4">
            <w:pPr>
              <w:jc w:val="left"/>
              <w:rPr>
                <w:rFonts w:cs="Arial"/>
                <w:szCs w:val="18"/>
                <w:lang w:val="en-GB"/>
              </w:rPr>
            </w:pPr>
            <w:r w:rsidRPr="00696ABF">
              <w:rPr>
                <w:rFonts w:cs="Arial"/>
                <w:szCs w:val="18"/>
                <w:lang w:val="en-GB"/>
              </w:rPr>
              <w:t>Single Name </w:t>
            </w:r>
            <w:r w:rsidR="00236235" w:rsidRPr="00696ABF">
              <w:rPr>
                <w:rFonts w:cs="Arial"/>
                <w:szCs w:val="18"/>
                <w:lang w:val="en-GB"/>
              </w:rPr>
              <w:t>Credit Default Swap</w:t>
            </w:r>
          </w:p>
        </w:tc>
        <w:tc>
          <w:tcPr>
            <w:tcW w:w="6269" w:type="dxa"/>
            <w:shd w:val="clear" w:color="auto" w:fill="auto"/>
          </w:tcPr>
          <w:p w:rsidR="00236235" w:rsidRPr="00696ABF" w:rsidRDefault="00236235" w:rsidP="00C75CA4">
            <w:pPr>
              <w:jc w:val="left"/>
              <w:rPr>
                <w:rFonts w:cs="Arial"/>
                <w:szCs w:val="18"/>
                <w:lang w:val="en-GB"/>
              </w:rPr>
            </w:pPr>
            <w:r w:rsidRPr="00696ABF">
              <w:rPr>
                <w:rFonts w:cs="Arial"/>
                <w:szCs w:val="18"/>
                <w:lang w:val="en-GB"/>
              </w:rPr>
              <w:t xml:space="preserve">Protection </w:t>
            </w:r>
            <w:r w:rsidR="00E12C7B" w:rsidRPr="00696ABF">
              <w:rPr>
                <w:rFonts w:cs="Arial"/>
                <w:szCs w:val="18"/>
                <w:lang w:val="en-GB"/>
              </w:rPr>
              <w:t>Seller</w:t>
            </w:r>
            <w:r w:rsidRPr="00696ABF">
              <w:rPr>
                <w:rFonts w:cs="Arial"/>
                <w:szCs w:val="18"/>
                <w:lang w:val="en-GB"/>
              </w:rPr>
              <w:t xml:space="preserve"> – </w:t>
            </w:r>
            <w:r w:rsidR="00E12C7B" w:rsidRPr="00696ABF">
              <w:rPr>
                <w:rFonts w:cs="Arial"/>
                <w:szCs w:val="18"/>
                <w:lang w:val="en-GB"/>
              </w:rPr>
              <w:t xml:space="preserve">The higher of the market value of the underlying reference asset or the notional value of the </w:t>
            </w:r>
            <w:r w:rsidRPr="00696ABF">
              <w:rPr>
                <w:rFonts w:cs="Arial"/>
                <w:szCs w:val="18"/>
                <w:lang w:val="en-GB"/>
              </w:rPr>
              <w:t>CDS</w:t>
            </w:r>
          </w:p>
          <w:p w:rsidR="00236235" w:rsidRPr="00696ABF" w:rsidRDefault="00236235" w:rsidP="00E12C7B">
            <w:pPr>
              <w:jc w:val="left"/>
              <w:rPr>
                <w:rFonts w:cs="Arial"/>
                <w:szCs w:val="18"/>
                <w:lang w:val="en-GB"/>
              </w:rPr>
            </w:pPr>
            <w:r w:rsidRPr="00696ABF">
              <w:rPr>
                <w:rFonts w:cs="Arial"/>
                <w:szCs w:val="18"/>
                <w:lang w:val="en-GB"/>
              </w:rPr>
              <w:t xml:space="preserve">Protection </w:t>
            </w:r>
            <w:r w:rsidR="00E12C7B" w:rsidRPr="00696ABF">
              <w:rPr>
                <w:rFonts w:cs="Arial"/>
                <w:szCs w:val="18"/>
                <w:lang w:val="en-GB"/>
              </w:rPr>
              <w:t xml:space="preserve">Buyer </w:t>
            </w:r>
            <w:r w:rsidRPr="00696ABF">
              <w:rPr>
                <w:rFonts w:cs="Arial"/>
                <w:szCs w:val="18"/>
                <w:lang w:val="en-GB"/>
              </w:rPr>
              <w:t xml:space="preserve">– </w:t>
            </w:r>
            <w:r w:rsidR="00E12C7B" w:rsidRPr="00696ABF">
              <w:rPr>
                <w:rFonts w:cs="Arial"/>
                <w:szCs w:val="18"/>
                <w:lang w:val="en-GB"/>
              </w:rPr>
              <w:t>Market value of the underlying reference asset</w:t>
            </w:r>
          </w:p>
        </w:tc>
      </w:tr>
      <w:tr w:rsidR="00236235" w:rsidRPr="00D345CD" w:rsidTr="00236235">
        <w:trPr>
          <w:trHeight w:val="196"/>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236235" w:rsidP="00C75CA4">
            <w:pPr>
              <w:jc w:val="left"/>
              <w:rPr>
                <w:rFonts w:cs="Arial"/>
                <w:szCs w:val="18"/>
                <w:lang w:val="en-GB"/>
              </w:rPr>
            </w:pPr>
            <w:r w:rsidRPr="00696ABF">
              <w:rPr>
                <w:rFonts w:cs="Arial"/>
                <w:szCs w:val="18"/>
                <w:lang w:val="en-GB"/>
              </w:rPr>
              <w:t>Contract for Differences</w:t>
            </w:r>
          </w:p>
        </w:tc>
        <w:tc>
          <w:tcPr>
            <w:tcW w:w="6269" w:type="dxa"/>
            <w:shd w:val="clear" w:color="auto" w:fill="auto"/>
          </w:tcPr>
          <w:p w:rsidR="00236235" w:rsidRPr="00696ABF" w:rsidRDefault="00236235" w:rsidP="00E12C7B">
            <w:pPr>
              <w:jc w:val="left"/>
              <w:rPr>
                <w:rFonts w:cs="Arial"/>
                <w:szCs w:val="18"/>
                <w:lang w:val="en-GB"/>
              </w:rPr>
            </w:pPr>
            <w:r w:rsidRPr="00696ABF">
              <w:rPr>
                <w:rFonts w:cs="Arial"/>
                <w:szCs w:val="18"/>
                <w:lang w:val="en-GB"/>
              </w:rPr>
              <w:t>N</w:t>
            </w:r>
            <w:r w:rsidR="00E12C7B" w:rsidRPr="00696ABF">
              <w:rPr>
                <w:rFonts w:cs="Arial"/>
                <w:szCs w:val="18"/>
                <w:lang w:val="en-GB"/>
              </w:rPr>
              <w:t>umber of shares/bonds</w:t>
            </w:r>
            <w:r w:rsidRPr="00696ABF">
              <w:rPr>
                <w:rFonts w:cs="Arial"/>
                <w:szCs w:val="18"/>
                <w:lang w:val="en-GB"/>
              </w:rPr>
              <w:t xml:space="preserve"> * </w:t>
            </w:r>
            <w:r w:rsidR="00E12C7B" w:rsidRPr="00696ABF">
              <w:rPr>
                <w:rFonts w:cs="Arial"/>
                <w:szCs w:val="18"/>
                <w:lang w:val="en-GB"/>
              </w:rPr>
              <w:t>market value of the underlying reference instrument</w:t>
            </w:r>
          </w:p>
        </w:tc>
      </w:tr>
      <w:tr w:rsidR="00236235" w:rsidRPr="00D345CD" w:rsidTr="006F48F8">
        <w:trPr>
          <w:trHeight w:val="487"/>
        </w:trPr>
        <w:tc>
          <w:tcPr>
            <w:tcW w:w="817" w:type="dxa"/>
            <w:vMerge w:val="restart"/>
            <w:shd w:val="clear" w:color="auto" w:fill="auto"/>
            <w:textDirection w:val="btLr"/>
            <w:vAlign w:val="center"/>
          </w:tcPr>
          <w:p w:rsidR="00236235" w:rsidRPr="00696ABF" w:rsidRDefault="00E12C7B" w:rsidP="00C75CA4">
            <w:pPr>
              <w:ind w:left="113" w:right="113"/>
              <w:rPr>
                <w:rFonts w:cs="Arial"/>
                <w:szCs w:val="18"/>
                <w:lang w:val="en-GB"/>
              </w:rPr>
            </w:pPr>
            <w:r w:rsidRPr="00696ABF">
              <w:rPr>
                <w:rFonts w:cs="Arial"/>
                <w:szCs w:val="18"/>
                <w:lang w:val="en-GB"/>
              </w:rPr>
              <w:t>F</w:t>
            </w:r>
            <w:r w:rsidR="00236235" w:rsidRPr="00696ABF">
              <w:rPr>
                <w:rFonts w:cs="Arial"/>
                <w:szCs w:val="18"/>
                <w:lang w:val="en-GB"/>
              </w:rPr>
              <w:t>orwards</w:t>
            </w:r>
          </w:p>
        </w:tc>
        <w:tc>
          <w:tcPr>
            <w:tcW w:w="2126" w:type="dxa"/>
            <w:shd w:val="clear" w:color="auto" w:fill="auto"/>
          </w:tcPr>
          <w:p w:rsidR="00236235" w:rsidRPr="00696ABF" w:rsidRDefault="00E12C7B" w:rsidP="00E12C7B">
            <w:pPr>
              <w:jc w:val="left"/>
              <w:rPr>
                <w:rFonts w:cs="Arial"/>
                <w:szCs w:val="18"/>
                <w:lang w:val="en-GB"/>
              </w:rPr>
            </w:pPr>
            <w:r w:rsidRPr="00696ABF">
              <w:rPr>
                <w:rFonts w:cs="Arial"/>
                <w:szCs w:val="18"/>
                <w:lang w:val="en-GB"/>
              </w:rPr>
              <w:t>FX F</w:t>
            </w:r>
            <w:r w:rsidR="00236235" w:rsidRPr="00696ABF">
              <w:rPr>
                <w:rFonts w:cs="Arial"/>
                <w:szCs w:val="18"/>
                <w:lang w:val="en-GB"/>
              </w:rPr>
              <w:t>orward</w:t>
            </w:r>
          </w:p>
        </w:tc>
        <w:tc>
          <w:tcPr>
            <w:tcW w:w="6269" w:type="dxa"/>
            <w:shd w:val="clear" w:color="auto" w:fill="auto"/>
          </w:tcPr>
          <w:p w:rsidR="00236235" w:rsidRPr="00696ABF" w:rsidRDefault="00236235" w:rsidP="00E12C7B">
            <w:pPr>
              <w:jc w:val="left"/>
              <w:rPr>
                <w:rFonts w:cs="Arial"/>
                <w:szCs w:val="18"/>
                <w:lang w:val="en-GB"/>
              </w:rPr>
            </w:pPr>
            <w:r w:rsidRPr="00696ABF">
              <w:rPr>
                <w:rFonts w:cs="Arial"/>
                <w:szCs w:val="18"/>
                <w:lang w:val="en-GB"/>
              </w:rPr>
              <w:t>No</w:t>
            </w:r>
            <w:r w:rsidR="00E12C7B" w:rsidRPr="00696ABF">
              <w:rPr>
                <w:rFonts w:cs="Arial"/>
                <w:szCs w:val="18"/>
                <w:lang w:val="en-GB"/>
              </w:rPr>
              <w:t>tional value of the currency leg(s)</w:t>
            </w:r>
          </w:p>
        </w:tc>
      </w:tr>
      <w:tr w:rsidR="00236235" w:rsidRPr="00696ABF" w:rsidTr="006F48F8">
        <w:trPr>
          <w:trHeight w:val="551"/>
        </w:trPr>
        <w:tc>
          <w:tcPr>
            <w:tcW w:w="817" w:type="dxa"/>
            <w:vMerge/>
            <w:shd w:val="clear" w:color="auto" w:fill="auto"/>
          </w:tcPr>
          <w:p w:rsidR="00236235" w:rsidRPr="00696ABF" w:rsidRDefault="00236235" w:rsidP="00C75CA4">
            <w:pPr>
              <w:rPr>
                <w:rFonts w:cs="Arial"/>
                <w:szCs w:val="18"/>
                <w:lang w:val="en-GB"/>
              </w:rPr>
            </w:pPr>
          </w:p>
        </w:tc>
        <w:tc>
          <w:tcPr>
            <w:tcW w:w="2126" w:type="dxa"/>
            <w:shd w:val="clear" w:color="auto" w:fill="auto"/>
          </w:tcPr>
          <w:p w:rsidR="00236235" w:rsidRPr="00696ABF" w:rsidRDefault="00236235" w:rsidP="00C75CA4">
            <w:pPr>
              <w:jc w:val="left"/>
              <w:rPr>
                <w:rFonts w:cs="Arial"/>
                <w:szCs w:val="18"/>
                <w:lang w:val="en-GB"/>
              </w:rPr>
            </w:pPr>
            <w:r w:rsidRPr="00696ABF">
              <w:rPr>
                <w:rFonts w:cs="Arial"/>
                <w:szCs w:val="18"/>
                <w:lang w:val="en-GB"/>
              </w:rPr>
              <w:t>Forward Rate Agreement</w:t>
            </w:r>
          </w:p>
        </w:tc>
        <w:tc>
          <w:tcPr>
            <w:tcW w:w="6269" w:type="dxa"/>
            <w:shd w:val="clear" w:color="auto" w:fill="auto"/>
          </w:tcPr>
          <w:p w:rsidR="00236235" w:rsidRPr="00696ABF" w:rsidRDefault="00236235" w:rsidP="00E12C7B">
            <w:pPr>
              <w:jc w:val="left"/>
              <w:rPr>
                <w:rFonts w:cs="Arial"/>
                <w:szCs w:val="18"/>
                <w:lang w:val="en-GB"/>
              </w:rPr>
            </w:pPr>
            <w:r w:rsidRPr="00696ABF">
              <w:rPr>
                <w:rFonts w:cs="Arial"/>
                <w:szCs w:val="18"/>
                <w:lang w:val="en-GB"/>
              </w:rPr>
              <w:t>No</w:t>
            </w:r>
            <w:r w:rsidR="00E12C7B" w:rsidRPr="00696ABF">
              <w:rPr>
                <w:rFonts w:cs="Arial"/>
                <w:szCs w:val="18"/>
                <w:lang w:val="en-GB"/>
              </w:rPr>
              <w:t>tional value</w:t>
            </w:r>
          </w:p>
        </w:tc>
      </w:tr>
      <w:tr w:rsidR="00236235" w:rsidRPr="00D345CD" w:rsidTr="00236235">
        <w:trPr>
          <w:trHeight w:val="678"/>
        </w:trPr>
        <w:tc>
          <w:tcPr>
            <w:tcW w:w="2943" w:type="dxa"/>
            <w:gridSpan w:val="2"/>
            <w:shd w:val="clear" w:color="auto" w:fill="auto"/>
          </w:tcPr>
          <w:p w:rsidR="00236235" w:rsidRPr="00696ABF" w:rsidRDefault="00E12C7B" w:rsidP="00E12C7B">
            <w:pPr>
              <w:jc w:val="left"/>
              <w:rPr>
                <w:rFonts w:cs="Arial"/>
                <w:szCs w:val="18"/>
                <w:lang w:val="en-GB"/>
              </w:rPr>
            </w:pPr>
            <w:r w:rsidRPr="00696ABF">
              <w:rPr>
                <w:rFonts w:cs="Arial"/>
                <w:szCs w:val="18"/>
                <w:lang w:val="en-GB"/>
              </w:rPr>
              <w:t>Leveraged exposure to indices or indices with embedded leverage</w:t>
            </w:r>
          </w:p>
        </w:tc>
        <w:tc>
          <w:tcPr>
            <w:tcW w:w="6269" w:type="dxa"/>
            <w:shd w:val="clear" w:color="auto" w:fill="auto"/>
          </w:tcPr>
          <w:p w:rsidR="00236235" w:rsidRPr="00696ABF" w:rsidRDefault="00F44353" w:rsidP="00F44353">
            <w:pPr>
              <w:jc w:val="left"/>
              <w:rPr>
                <w:rFonts w:cs="Arial"/>
                <w:szCs w:val="18"/>
                <w:lang w:val="en-GB"/>
              </w:rPr>
            </w:pPr>
            <w:r w:rsidRPr="00696ABF">
              <w:rPr>
                <w:rFonts w:cs="Arial"/>
                <w:szCs w:val="18"/>
                <w:lang w:val="en-GB"/>
              </w:rPr>
              <w:t>A derivative providing leveraged exposure to an underlying index, or indices that embed leveraged exposure to their portfolio, must apply the standard applicable commitment approach to the assets in question</w:t>
            </w:r>
            <w:r w:rsidR="00236235" w:rsidRPr="00696ABF">
              <w:rPr>
                <w:rFonts w:cs="Arial"/>
                <w:szCs w:val="18"/>
                <w:lang w:val="en-GB"/>
              </w:rPr>
              <w:t>.</w:t>
            </w:r>
          </w:p>
        </w:tc>
      </w:tr>
    </w:tbl>
    <w:p w:rsidR="00236235" w:rsidRPr="00696ABF" w:rsidRDefault="00236235" w:rsidP="007C7FA3">
      <w:pPr>
        <w:pStyle w:val="NormalWeb"/>
        <w:spacing w:before="0" w:beforeAutospacing="0" w:after="0" w:afterAutospacing="0" w:line="240" w:lineRule="atLeast"/>
        <w:jc w:val="both"/>
        <w:rPr>
          <w:rFonts w:ascii="Arial" w:hAnsi="Arial" w:cs="Arial"/>
          <w:sz w:val="18"/>
          <w:szCs w:val="18"/>
          <w:lang w:val="en-GB"/>
        </w:rPr>
      </w:pPr>
    </w:p>
    <w:sectPr w:rsidR="00236235" w:rsidRPr="00696ABF" w:rsidSect="004814A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C2" w:rsidRDefault="00506DC2">
      <w:r>
        <w:separator/>
      </w:r>
    </w:p>
  </w:endnote>
  <w:endnote w:type="continuationSeparator" w:id="0">
    <w:p w:rsidR="00506DC2" w:rsidRDefault="0050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4608B4">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59561A">
      <w:rPr>
        <w:rStyle w:val="Numrodepage0"/>
        <w:noProof/>
        <w:color w:val="808080"/>
      </w:rPr>
      <w:t>1</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D345CD">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D345CD">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C2" w:rsidRDefault="00506DC2">
      <w:r>
        <w:separator/>
      </w:r>
    </w:p>
  </w:footnote>
  <w:footnote w:type="continuationSeparator" w:id="0">
    <w:p w:rsidR="00506DC2" w:rsidRDefault="00506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A3" w:rsidRDefault="007C7F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Pr="00A951BF" w:rsidRDefault="00E9458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7A75EEDF" wp14:editId="1959CE8F">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35">
      <w:rPr>
        <w:noProof/>
        <w:szCs w:val="16"/>
      </w:rPr>
      <w:t>Formules de calcul de l’engagement par conversion des contrats financiers standards en valeur de marché de la position équivalente sur l’actif sous-jacent</w:t>
    </w:r>
    <w:r w:rsidR="00BF39DA" w:rsidRPr="00A951BF">
      <w:t xml:space="preserve"> </w:t>
    </w:r>
    <w:r w:rsidR="00BF39DA">
      <w:t>–</w:t>
    </w:r>
    <w:r w:rsidR="00BF39DA" w:rsidRPr="003A01BF">
      <w:rPr>
        <w:szCs w:val="16"/>
      </w:rPr>
      <w:t xml:space="preserve"> </w:t>
    </w:r>
    <w:r w:rsidR="00236235">
      <w:rPr>
        <w:szCs w:val="16"/>
      </w:rPr>
      <w:t xml:space="preserve">Annexe </w:t>
    </w:r>
    <w:r w:rsidR="00BF39DA">
      <w:rPr>
        <w:szCs w:val="16"/>
      </w:rPr>
      <w:t>I</w:t>
    </w:r>
    <w:r w:rsidR="00236235">
      <w:rPr>
        <w:szCs w:val="16"/>
      </w:rPr>
      <w:t xml:space="preserve"> de l’instruction n° 2011-15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E94580">
    <w:pPr>
      <w:pStyle w:val="En-tte"/>
    </w:pPr>
    <w:r>
      <w:rPr>
        <w:noProof/>
      </w:rPr>
      <w:drawing>
        <wp:anchor distT="0" distB="0" distL="114300" distR="114300" simplePos="0" relativeHeight="251658240"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3"/>
  </w:num>
  <w:num w:numId="5">
    <w:abstractNumId w:val="3"/>
  </w:num>
  <w:num w:numId="6">
    <w:abstractNumId w:val="3"/>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2"/>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6042"/>
    <w:rsid w:val="00085291"/>
    <w:rsid w:val="000A047D"/>
    <w:rsid w:val="000B6A60"/>
    <w:rsid w:val="000C50E8"/>
    <w:rsid w:val="000E1570"/>
    <w:rsid w:val="00104E2B"/>
    <w:rsid w:val="00134785"/>
    <w:rsid w:val="001420C6"/>
    <w:rsid w:val="00142345"/>
    <w:rsid w:val="00163A04"/>
    <w:rsid w:val="00167465"/>
    <w:rsid w:val="00184E77"/>
    <w:rsid w:val="0018617B"/>
    <w:rsid w:val="00197710"/>
    <w:rsid w:val="001A2EAA"/>
    <w:rsid w:val="001B338E"/>
    <w:rsid w:val="001B6B35"/>
    <w:rsid w:val="001C34E7"/>
    <w:rsid w:val="001C72F4"/>
    <w:rsid w:val="001D39C5"/>
    <w:rsid w:val="001E386C"/>
    <w:rsid w:val="001F7921"/>
    <w:rsid w:val="0021426E"/>
    <w:rsid w:val="00220079"/>
    <w:rsid w:val="00236235"/>
    <w:rsid w:val="002449BD"/>
    <w:rsid w:val="00245C1E"/>
    <w:rsid w:val="0024691B"/>
    <w:rsid w:val="0025322C"/>
    <w:rsid w:val="00257248"/>
    <w:rsid w:val="002577FD"/>
    <w:rsid w:val="00263FE8"/>
    <w:rsid w:val="002755C9"/>
    <w:rsid w:val="002C60E8"/>
    <w:rsid w:val="002D2678"/>
    <w:rsid w:val="002D57A4"/>
    <w:rsid w:val="002E2273"/>
    <w:rsid w:val="002E38B4"/>
    <w:rsid w:val="002E5019"/>
    <w:rsid w:val="002F5EF0"/>
    <w:rsid w:val="00304E24"/>
    <w:rsid w:val="00321843"/>
    <w:rsid w:val="0032281A"/>
    <w:rsid w:val="00322E2B"/>
    <w:rsid w:val="0032306F"/>
    <w:rsid w:val="0033556A"/>
    <w:rsid w:val="00340BD7"/>
    <w:rsid w:val="00341508"/>
    <w:rsid w:val="003466B9"/>
    <w:rsid w:val="00355497"/>
    <w:rsid w:val="00363DDE"/>
    <w:rsid w:val="00374A3E"/>
    <w:rsid w:val="00377554"/>
    <w:rsid w:val="003865D5"/>
    <w:rsid w:val="00393AB5"/>
    <w:rsid w:val="003A01BF"/>
    <w:rsid w:val="003B179F"/>
    <w:rsid w:val="003C5DF9"/>
    <w:rsid w:val="003E65CE"/>
    <w:rsid w:val="003E71C7"/>
    <w:rsid w:val="00413CA3"/>
    <w:rsid w:val="00415E72"/>
    <w:rsid w:val="0042410B"/>
    <w:rsid w:val="00431165"/>
    <w:rsid w:val="00433BB1"/>
    <w:rsid w:val="00453F97"/>
    <w:rsid w:val="00455599"/>
    <w:rsid w:val="004608B4"/>
    <w:rsid w:val="004617E3"/>
    <w:rsid w:val="004737D3"/>
    <w:rsid w:val="00477F8B"/>
    <w:rsid w:val="004814A4"/>
    <w:rsid w:val="00495E36"/>
    <w:rsid w:val="00497AA8"/>
    <w:rsid w:val="004B1A3B"/>
    <w:rsid w:val="004B3E5B"/>
    <w:rsid w:val="004C1780"/>
    <w:rsid w:val="004C1952"/>
    <w:rsid w:val="004D00FC"/>
    <w:rsid w:val="004D64AD"/>
    <w:rsid w:val="004E51ED"/>
    <w:rsid w:val="004E771E"/>
    <w:rsid w:val="004F5960"/>
    <w:rsid w:val="00506DC2"/>
    <w:rsid w:val="0054496A"/>
    <w:rsid w:val="00553540"/>
    <w:rsid w:val="0055795E"/>
    <w:rsid w:val="005748B4"/>
    <w:rsid w:val="0057595C"/>
    <w:rsid w:val="005764BE"/>
    <w:rsid w:val="0058154B"/>
    <w:rsid w:val="00590F6F"/>
    <w:rsid w:val="0059561A"/>
    <w:rsid w:val="0059682A"/>
    <w:rsid w:val="005A2524"/>
    <w:rsid w:val="005A2543"/>
    <w:rsid w:val="005A5A5B"/>
    <w:rsid w:val="005A7800"/>
    <w:rsid w:val="005B2D20"/>
    <w:rsid w:val="005B4F2F"/>
    <w:rsid w:val="005C26F1"/>
    <w:rsid w:val="005C5770"/>
    <w:rsid w:val="005E4F8D"/>
    <w:rsid w:val="00604185"/>
    <w:rsid w:val="00641DC0"/>
    <w:rsid w:val="00657B40"/>
    <w:rsid w:val="0068702C"/>
    <w:rsid w:val="00692B21"/>
    <w:rsid w:val="00696ABF"/>
    <w:rsid w:val="006C255E"/>
    <w:rsid w:val="006C45B2"/>
    <w:rsid w:val="006C4A03"/>
    <w:rsid w:val="006D3103"/>
    <w:rsid w:val="006D77DB"/>
    <w:rsid w:val="006E0721"/>
    <w:rsid w:val="006F48F8"/>
    <w:rsid w:val="006F7A29"/>
    <w:rsid w:val="00704E3E"/>
    <w:rsid w:val="00717D44"/>
    <w:rsid w:val="007208A7"/>
    <w:rsid w:val="007435DA"/>
    <w:rsid w:val="00744425"/>
    <w:rsid w:val="00745AFB"/>
    <w:rsid w:val="00765A59"/>
    <w:rsid w:val="00770D55"/>
    <w:rsid w:val="007731B4"/>
    <w:rsid w:val="00777A27"/>
    <w:rsid w:val="00780098"/>
    <w:rsid w:val="007925F8"/>
    <w:rsid w:val="007A0127"/>
    <w:rsid w:val="007A3D4C"/>
    <w:rsid w:val="007A7558"/>
    <w:rsid w:val="007C7FA3"/>
    <w:rsid w:val="007D49C2"/>
    <w:rsid w:val="007F1235"/>
    <w:rsid w:val="007F51C2"/>
    <w:rsid w:val="00805F2F"/>
    <w:rsid w:val="00807E98"/>
    <w:rsid w:val="00830344"/>
    <w:rsid w:val="00835784"/>
    <w:rsid w:val="008510A2"/>
    <w:rsid w:val="00863BF5"/>
    <w:rsid w:val="00875DC7"/>
    <w:rsid w:val="008863FB"/>
    <w:rsid w:val="00891583"/>
    <w:rsid w:val="00895538"/>
    <w:rsid w:val="008B4659"/>
    <w:rsid w:val="008C101A"/>
    <w:rsid w:val="008C2B35"/>
    <w:rsid w:val="008E16FA"/>
    <w:rsid w:val="008E22BC"/>
    <w:rsid w:val="008F043C"/>
    <w:rsid w:val="008F15E2"/>
    <w:rsid w:val="008F5B0D"/>
    <w:rsid w:val="0095196D"/>
    <w:rsid w:val="0095301F"/>
    <w:rsid w:val="00955029"/>
    <w:rsid w:val="00957528"/>
    <w:rsid w:val="00957D82"/>
    <w:rsid w:val="00960CB2"/>
    <w:rsid w:val="00972A8F"/>
    <w:rsid w:val="009B3C86"/>
    <w:rsid w:val="009C6241"/>
    <w:rsid w:val="009E0393"/>
    <w:rsid w:val="009E4513"/>
    <w:rsid w:val="009F3168"/>
    <w:rsid w:val="009F4F3B"/>
    <w:rsid w:val="00A01783"/>
    <w:rsid w:val="00A06C26"/>
    <w:rsid w:val="00A071BF"/>
    <w:rsid w:val="00A27B37"/>
    <w:rsid w:val="00A51FCE"/>
    <w:rsid w:val="00A534DC"/>
    <w:rsid w:val="00A81E19"/>
    <w:rsid w:val="00A951BF"/>
    <w:rsid w:val="00AB70DE"/>
    <w:rsid w:val="00AC627B"/>
    <w:rsid w:val="00AC7C70"/>
    <w:rsid w:val="00AD433F"/>
    <w:rsid w:val="00AE182F"/>
    <w:rsid w:val="00B01A64"/>
    <w:rsid w:val="00B174A3"/>
    <w:rsid w:val="00B32044"/>
    <w:rsid w:val="00B470CF"/>
    <w:rsid w:val="00B51842"/>
    <w:rsid w:val="00B6537E"/>
    <w:rsid w:val="00B71F46"/>
    <w:rsid w:val="00B838A9"/>
    <w:rsid w:val="00B95CAC"/>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7F6F"/>
    <w:rsid w:val="00C76427"/>
    <w:rsid w:val="00C87218"/>
    <w:rsid w:val="00C87F23"/>
    <w:rsid w:val="00CB69C4"/>
    <w:rsid w:val="00CD3802"/>
    <w:rsid w:val="00CF0865"/>
    <w:rsid w:val="00D171EB"/>
    <w:rsid w:val="00D307F9"/>
    <w:rsid w:val="00D345CD"/>
    <w:rsid w:val="00D37A56"/>
    <w:rsid w:val="00D37C96"/>
    <w:rsid w:val="00D500FA"/>
    <w:rsid w:val="00D541F7"/>
    <w:rsid w:val="00D75F19"/>
    <w:rsid w:val="00D776EF"/>
    <w:rsid w:val="00D80A59"/>
    <w:rsid w:val="00D94C7A"/>
    <w:rsid w:val="00D95CBC"/>
    <w:rsid w:val="00D95FD8"/>
    <w:rsid w:val="00DB2D59"/>
    <w:rsid w:val="00DB4ABE"/>
    <w:rsid w:val="00DC45D6"/>
    <w:rsid w:val="00DC46FC"/>
    <w:rsid w:val="00DD67B2"/>
    <w:rsid w:val="00DF7C85"/>
    <w:rsid w:val="00E05C8C"/>
    <w:rsid w:val="00E10861"/>
    <w:rsid w:val="00E12C70"/>
    <w:rsid w:val="00E12C7B"/>
    <w:rsid w:val="00E13ADF"/>
    <w:rsid w:val="00E238FF"/>
    <w:rsid w:val="00E30E6C"/>
    <w:rsid w:val="00E628CE"/>
    <w:rsid w:val="00E76F7C"/>
    <w:rsid w:val="00E772D8"/>
    <w:rsid w:val="00E82583"/>
    <w:rsid w:val="00E92E39"/>
    <w:rsid w:val="00E94580"/>
    <w:rsid w:val="00E95D0E"/>
    <w:rsid w:val="00E97ACA"/>
    <w:rsid w:val="00EA7710"/>
    <w:rsid w:val="00EE1238"/>
    <w:rsid w:val="00EE3331"/>
    <w:rsid w:val="00EE720C"/>
    <w:rsid w:val="00EF406C"/>
    <w:rsid w:val="00F06CB6"/>
    <w:rsid w:val="00F36185"/>
    <w:rsid w:val="00F40398"/>
    <w:rsid w:val="00F4327F"/>
    <w:rsid w:val="00F44353"/>
    <w:rsid w:val="00F510DE"/>
    <w:rsid w:val="00F6357E"/>
    <w:rsid w:val="00F651EB"/>
    <w:rsid w:val="00F730B1"/>
    <w:rsid w:val="00F81C3C"/>
    <w:rsid w:val="00F971D8"/>
    <w:rsid w:val="00FA02E7"/>
    <w:rsid w:val="00FA0BA5"/>
    <w:rsid w:val="00FA1992"/>
    <w:rsid w:val="00FB1B98"/>
    <w:rsid w:val="00FB452C"/>
    <w:rsid w:val="00FB4D48"/>
    <w:rsid w:val="00FC6EF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Note_college_DE_Int</Template>
  <TotalTime>4</TotalTime>
  <Pages>1</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Note présentée au Collège</vt:lpstr>
    </vt:vector>
  </TitlesOfParts>
  <Company>AMF</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présentée au Collège</dc:title>
  <dc:creator>VCartier</dc:creator>
  <cp:lastModifiedBy>BIET-MEUNIER Fanny</cp:lastModifiedBy>
  <cp:revision>9</cp:revision>
  <cp:lastPrinted>2014-01-22T07:42:00Z</cp:lastPrinted>
  <dcterms:created xsi:type="dcterms:W3CDTF">2014-01-20T15:55:00Z</dcterms:created>
  <dcterms:modified xsi:type="dcterms:W3CDTF">2014-01-29T07:53:00Z</dcterms:modified>
  <cp:category>Interne</cp:category>
</cp:coreProperties>
</file>