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6A" w:rsidRDefault="00236235" w:rsidP="00036098">
      <w:pPr>
        <w:rPr>
          <w:rFonts w:cs="Arial"/>
          <w:szCs w:val="18"/>
        </w:rPr>
      </w:pPr>
      <w:r w:rsidRPr="006A1385">
        <w:rPr>
          <w:rFonts w:cs="Arial"/>
          <w:b/>
          <w:szCs w:val="18"/>
        </w:rPr>
        <w:t xml:space="preserve">Formules </w:t>
      </w:r>
      <w:r>
        <w:rPr>
          <w:rFonts w:cs="Arial"/>
          <w:b/>
          <w:szCs w:val="18"/>
        </w:rPr>
        <w:t>de calcul de l’engagement par</w:t>
      </w:r>
      <w:r w:rsidRPr="006A1385">
        <w:rPr>
          <w:rFonts w:cs="Arial"/>
          <w:b/>
          <w:szCs w:val="18"/>
        </w:rPr>
        <w:t xml:space="preserve"> conversion des contrats financiers standards en valeur de marché de la position équivalente sur l’actif sous-jacent</w:t>
      </w:r>
    </w:p>
    <w:p w:rsidR="00236235" w:rsidRPr="007C7FA3" w:rsidRDefault="00236235" w:rsidP="00BE401C">
      <w:pPr>
        <w:rPr>
          <w:iCs/>
          <w:szCs w:val="18"/>
        </w:rPr>
      </w:pPr>
    </w:p>
    <w:p w:rsidR="00236235" w:rsidRPr="00BE401C" w:rsidRDefault="00BE401C" w:rsidP="00236235">
      <w:pPr>
        <w:spacing w:after="120"/>
        <w:rPr>
          <w:rFonts w:cs="Arial"/>
          <w:szCs w:val="18"/>
        </w:rPr>
      </w:pPr>
      <w:r w:rsidRPr="001C5880">
        <w:rPr>
          <w:iCs/>
          <w:szCs w:val="18"/>
        </w:rPr>
        <w:t xml:space="preserve">Ce document constitue l’annexe </w:t>
      </w:r>
      <w:r w:rsidR="00236235">
        <w:rPr>
          <w:iCs/>
          <w:szCs w:val="18"/>
        </w:rPr>
        <w:t>I</w:t>
      </w:r>
      <w:r w:rsidR="004B583A">
        <w:rPr>
          <w:iCs/>
          <w:szCs w:val="18"/>
        </w:rPr>
        <w:t xml:space="preserve"> de l’instruction AMF DOC-</w:t>
      </w:r>
      <w:r w:rsidR="00236235">
        <w:t>2011-15</w:t>
      </w:r>
      <w:r w:rsidRPr="001C5880">
        <w:t xml:space="preserve"> </w:t>
      </w:r>
      <w:r w:rsidRPr="00BE401C">
        <w:rPr>
          <w:rFonts w:cs="Arial"/>
          <w:szCs w:val="18"/>
        </w:rPr>
        <w:t xml:space="preserve">- Modalités de </w:t>
      </w:r>
      <w:r w:rsidR="00236235">
        <w:rPr>
          <w:rFonts w:cs="Arial"/>
          <w:szCs w:val="18"/>
        </w:rPr>
        <w:t>calcul du risque global des OPCVM et des FIA agréés.</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26"/>
        <w:gridCol w:w="6269"/>
      </w:tblGrid>
      <w:tr w:rsidR="00236235" w:rsidRPr="003E39F0" w:rsidTr="00236235">
        <w:tc>
          <w:tcPr>
            <w:tcW w:w="817" w:type="dxa"/>
            <w:vMerge w:val="restart"/>
            <w:shd w:val="clear" w:color="auto" w:fill="auto"/>
            <w:textDirection w:val="btLr"/>
          </w:tcPr>
          <w:p w:rsidR="00236235" w:rsidRPr="003E39F0" w:rsidRDefault="00236235" w:rsidP="00C75CA4">
            <w:pPr>
              <w:ind w:left="113" w:right="113"/>
              <w:rPr>
                <w:rFonts w:cs="Arial"/>
                <w:szCs w:val="18"/>
              </w:rPr>
            </w:pPr>
            <w:r w:rsidRPr="003E39F0">
              <w:rPr>
                <w:rFonts w:cs="Arial"/>
                <w:szCs w:val="18"/>
              </w:rPr>
              <w:t>Contrats à terme</w:t>
            </w:r>
          </w:p>
        </w:tc>
        <w:tc>
          <w:tcPr>
            <w:tcW w:w="2126" w:type="dxa"/>
            <w:shd w:val="clear" w:color="auto" w:fill="auto"/>
          </w:tcPr>
          <w:p w:rsidR="00236235" w:rsidRPr="003E39F0" w:rsidRDefault="00236235" w:rsidP="00C75CA4">
            <w:pPr>
              <w:jc w:val="left"/>
              <w:rPr>
                <w:rFonts w:cs="Arial"/>
                <w:szCs w:val="18"/>
              </w:rPr>
            </w:pPr>
            <w:r w:rsidRPr="003E39F0">
              <w:rPr>
                <w:rFonts w:cs="Arial"/>
                <w:szCs w:val="18"/>
              </w:rPr>
              <w:t>Contrat à terme sur obligation</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Nombre de contrats * nominal du contrat * valeur de marché de l’obligation obligation la moins chère à livrer de référence</w:t>
            </w:r>
          </w:p>
        </w:tc>
      </w:tr>
      <w:tr w:rsidR="00236235" w:rsidRPr="003E39F0" w:rsidTr="00236235">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szCs w:val="18"/>
              </w:rPr>
            </w:pPr>
            <w:r w:rsidRPr="003E39F0">
              <w:rPr>
                <w:rFonts w:cs="Arial"/>
                <w:szCs w:val="18"/>
              </w:rPr>
              <w:t>Contrat à terme de taux d’intérêts</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Nombre de contrats * nominal du contrat</w:t>
            </w:r>
          </w:p>
        </w:tc>
      </w:tr>
      <w:tr w:rsidR="00236235" w:rsidRPr="003E39F0" w:rsidTr="00236235">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szCs w:val="18"/>
              </w:rPr>
            </w:pPr>
            <w:r w:rsidRPr="003E39F0">
              <w:rPr>
                <w:rFonts w:cs="Arial"/>
                <w:szCs w:val="18"/>
              </w:rPr>
              <w:t>Contrat à terme sur change</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Nombre de contrats * nominal du contrat</w:t>
            </w:r>
            <w:bookmarkStart w:id="0" w:name="_GoBack"/>
            <w:bookmarkEnd w:id="0"/>
          </w:p>
        </w:tc>
      </w:tr>
      <w:tr w:rsidR="00236235" w:rsidRPr="003E39F0" w:rsidTr="00236235">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szCs w:val="18"/>
              </w:rPr>
            </w:pPr>
            <w:r w:rsidRPr="003E39F0">
              <w:rPr>
                <w:rFonts w:cs="Arial"/>
                <w:szCs w:val="18"/>
              </w:rPr>
              <w:t>Contrat à terme sur action</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Nombre de contrats * nominal du contrat  * valeur de marché de l’action sous-jacente</w:t>
            </w:r>
          </w:p>
        </w:tc>
      </w:tr>
      <w:tr w:rsidR="00236235" w:rsidRPr="003E39F0" w:rsidTr="007C7FA3">
        <w:trPr>
          <w:trHeight w:val="537"/>
        </w:trPr>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szCs w:val="18"/>
              </w:rPr>
            </w:pPr>
            <w:r w:rsidRPr="003E39F0">
              <w:rPr>
                <w:rFonts w:cs="Arial"/>
                <w:szCs w:val="18"/>
              </w:rPr>
              <w:t>Contrat à terme sur indice</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Nombre de contrats * nominal du contrat  * niveau de l’indice</w:t>
            </w:r>
          </w:p>
        </w:tc>
      </w:tr>
      <w:tr w:rsidR="00236235" w:rsidRPr="003E39F0" w:rsidTr="00236235">
        <w:tc>
          <w:tcPr>
            <w:tcW w:w="817" w:type="dxa"/>
            <w:vMerge w:val="restart"/>
            <w:shd w:val="clear" w:color="auto" w:fill="auto"/>
            <w:textDirection w:val="btLr"/>
          </w:tcPr>
          <w:p w:rsidR="00236235" w:rsidRPr="003E39F0" w:rsidRDefault="00236235" w:rsidP="00C75CA4">
            <w:pPr>
              <w:ind w:left="113" w:right="113"/>
              <w:rPr>
                <w:rFonts w:cs="Arial"/>
                <w:szCs w:val="18"/>
              </w:rPr>
            </w:pPr>
            <w:r w:rsidRPr="003E39F0">
              <w:rPr>
                <w:rFonts w:cs="Arial"/>
                <w:szCs w:val="18"/>
              </w:rPr>
              <w:t>Options vanille</w:t>
            </w:r>
          </w:p>
          <w:p w:rsidR="00236235" w:rsidRPr="003E39F0" w:rsidRDefault="00236235" w:rsidP="00C75CA4">
            <w:pPr>
              <w:ind w:left="113" w:right="113"/>
              <w:rPr>
                <w:rFonts w:cs="Arial"/>
                <w:szCs w:val="18"/>
              </w:rPr>
            </w:pPr>
            <w:r w:rsidRPr="003E39F0">
              <w:rPr>
                <w:rFonts w:cs="Arial"/>
                <w:szCs w:val="18"/>
              </w:rPr>
              <w:t>(achat/vente d’options d’achat et de vente)</w:t>
            </w:r>
          </w:p>
        </w:tc>
        <w:tc>
          <w:tcPr>
            <w:tcW w:w="2126" w:type="dxa"/>
            <w:shd w:val="clear" w:color="auto" w:fill="auto"/>
          </w:tcPr>
          <w:p w:rsidR="00236235" w:rsidRPr="003E39F0" w:rsidRDefault="00236235" w:rsidP="00C75CA4">
            <w:pPr>
              <w:jc w:val="left"/>
              <w:rPr>
                <w:rFonts w:cs="Arial"/>
                <w:szCs w:val="18"/>
              </w:rPr>
            </w:pPr>
            <w:r w:rsidRPr="003E39F0">
              <w:rPr>
                <w:rFonts w:cs="Arial"/>
                <w:szCs w:val="18"/>
              </w:rPr>
              <w:t>Option vanille sur obligation</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Nominal * valeur de marché de l’obligation sous-jacente * delta</w:t>
            </w:r>
          </w:p>
        </w:tc>
      </w:tr>
      <w:tr w:rsidR="00236235" w:rsidRPr="003E39F0" w:rsidTr="00236235">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szCs w:val="18"/>
              </w:rPr>
            </w:pPr>
            <w:r w:rsidRPr="003E39F0">
              <w:rPr>
                <w:rFonts w:cs="Arial"/>
                <w:szCs w:val="18"/>
              </w:rPr>
              <w:t>Option vanille sur action</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Nombre de contrats * nominal du contrat * valeur de marché de l’action sous-jacente * delta</w:t>
            </w:r>
          </w:p>
        </w:tc>
      </w:tr>
      <w:tr w:rsidR="00236235" w:rsidRPr="003E39F0" w:rsidTr="00236235">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szCs w:val="18"/>
              </w:rPr>
            </w:pPr>
            <w:r w:rsidRPr="003E39F0">
              <w:rPr>
                <w:rFonts w:cs="Arial"/>
                <w:szCs w:val="18"/>
              </w:rPr>
              <w:t>Option vanille sur taux d’intérêt</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Nominal * delta</w:t>
            </w:r>
          </w:p>
        </w:tc>
      </w:tr>
      <w:tr w:rsidR="00236235" w:rsidRPr="003E39F0" w:rsidTr="00236235">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szCs w:val="18"/>
              </w:rPr>
            </w:pPr>
            <w:r w:rsidRPr="003E39F0">
              <w:rPr>
                <w:rFonts w:cs="Arial"/>
                <w:szCs w:val="18"/>
              </w:rPr>
              <w:t>Option vanille sur change</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Nominal de la (les) jambe(s) * delta</w:t>
            </w:r>
          </w:p>
        </w:tc>
      </w:tr>
      <w:tr w:rsidR="00236235" w:rsidRPr="003E39F0" w:rsidTr="00236235">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szCs w:val="18"/>
              </w:rPr>
            </w:pPr>
            <w:r w:rsidRPr="003E39F0">
              <w:rPr>
                <w:rFonts w:cs="Arial"/>
                <w:szCs w:val="18"/>
              </w:rPr>
              <w:t>Option vanille sur indice</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Nombre de contrats * nominal du contrat * niveau de l’indice * delta</w:t>
            </w:r>
          </w:p>
          <w:p w:rsidR="00236235" w:rsidRPr="003E39F0" w:rsidRDefault="00236235" w:rsidP="00C75CA4">
            <w:pPr>
              <w:jc w:val="left"/>
              <w:rPr>
                <w:rFonts w:cs="Arial"/>
                <w:szCs w:val="18"/>
              </w:rPr>
            </w:pPr>
          </w:p>
        </w:tc>
      </w:tr>
      <w:tr w:rsidR="00236235" w:rsidRPr="003E39F0" w:rsidTr="00236235">
        <w:trPr>
          <w:trHeight w:val="402"/>
        </w:trPr>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szCs w:val="18"/>
              </w:rPr>
            </w:pPr>
            <w:r w:rsidRPr="003E39F0">
              <w:rPr>
                <w:rFonts w:cs="Arial"/>
                <w:szCs w:val="18"/>
              </w:rPr>
              <w:t>Option vanille sur contrats à terme</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Nombre de contrats * nominal du contrat  *  valeur de marché de l’actif sous-jacent * delta</w:t>
            </w:r>
          </w:p>
        </w:tc>
      </w:tr>
      <w:tr w:rsidR="00236235" w:rsidRPr="003E39F0" w:rsidTr="00236235">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szCs w:val="18"/>
              </w:rPr>
            </w:pPr>
            <w:proofErr w:type="spellStart"/>
            <w:r w:rsidRPr="003E39F0">
              <w:rPr>
                <w:rFonts w:cs="Arial"/>
                <w:szCs w:val="18"/>
              </w:rPr>
              <w:t>Swaptions</w:t>
            </w:r>
            <w:proofErr w:type="spellEnd"/>
          </w:p>
        </w:tc>
        <w:tc>
          <w:tcPr>
            <w:tcW w:w="6269" w:type="dxa"/>
            <w:shd w:val="clear" w:color="auto" w:fill="auto"/>
          </w:tcPr>
          <w:p w:rsidR="00236235" w:rsidRPr="003E39F0" w:rsidRDefault="00236235" w:rsidP="00C75CA4">
            <w:pPr>
              <w:jc w:val="left"/>
              <w:rPr>
                <w:rFonts w:cs="Arial"/>
                <w:szCs w:val="18"/>
              </w:rPr>
            </w:pPr>
            <w:r w:rsidRPr="003E39F0">
              <w:rPr>
                <w:rFonts w:cs="Arial"/>
                <w:szCs w:val="18"/>
              </w:rPr>
              <w:t>Formule de conversion du contrat d’échange sous-jacent * delta</w:t>
            </w:r>
          </w:p>
        </w:tc>
      </w:tr>
      <w:tr w:rsidR="00236235" w:rsidRPr="003E39F0" w:rsidTr="00236235">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szCs w:val="18"/>
              </w:rPr>
            </w:pPr>
            <w:r w:rsidRPr="003E39F0">
              <w:rPr>
                <w:rFonts w:cs="Arial"/>
                <w:szCs w:val="18"/>
              </w:rPr>
              <w:t>Warrants et bons de souscriptions</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Nombre d’actions/obligations * valeur de marché de l’instrument sous-jacent * delta</w:t>
            </w:r>
          </w:p>
        </w:tc>
      </w:tr>
      <w:tr w:rsidR="00236235" w:rsidRPr="003E39F0" w:rsidTr="00236235">
        <w:trPr>
          <w:trHeight w:val="230"/>
        </w:trPr>
        <w:tc>
          <w:tcPr>
            <w:tcW w:w="817" w:type="dxa"/>
            <w:vMerge w:val="restart"/>
            <w:shd w:val="clear" w:color="auto" w:fill="auto"/>
            <w:textDirection w:val="btLr"/>
            <w:vAlign w:val="center"/>
          </w:tcPr>
          <w:p w:rsidR="00236235" w:rsidRPr="003E39F0" w:rsidRDefault="00236235" w:rsidP="00C75CA4">
            <w:pPr>
              <w:ind w:left="113" w:right="113"/>
              <w:rPr>
                <w:rFonts w:cs="Arial"/>
                <w:szCs w:val="18"/>
              </w:rPr>
            </w:pPr>
            <w:r w:rsidRPr="003E39F0">
              <w:rPr>
                <w:rFonts w:cs="Arial"/>
                <w:szCs w:val="18"/>
              </w:rPr>
              <w:t>Contrat d’échange (</w:t>
            </w:r>
            <w:r w:rsidRPr="003E39F0">
              <w:rPr>
                <w:rFonts w:cs="Arial"/>
                <w:i/>
                <w:szCs w:val="18"/>
              </w:rPr>
              <w:t>« swaps »)</w:t>
            </w:r>
          </w:p>
        </w:tc>
        <w:tc>
          <w:tcPr>
            <w:tcW w:w="2126" w:type="dxa"/>
            <w:shd w:val="clear" w:color="auto" w:fill="auto"/>
          </w:tcPr>
          <w:p w:rsidR="00236235" w:rsidRPr="003E39F0" w:rsidRDefault="00236235" w:rsidP="00C75CA4">
            <w:pPr>
              <w:jc w:val="left"/>
              <w:rPr>
                <w:rFonts w:cs="Arial"/>
                <w:szCs w:val="18"/>
              </w:rPr>
            </w:pPr>
            <w:r w:rsidRPr="003E39F0">
              <w:rPr>
                <w:rFonts w:cs="Arial"/>
                <w:szCs w:val="18"/>
              </w:rPr>
              <w:t>Contrat d’échange de taux classique (taux fixe/taux variable et inflation)</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Valeur de marché du sous-jacent (le nominal de la jambe fixe peut aussi être appliqué)</w:t>
            </w:r>
          </w:p>
        </w:tc>
      </w:tr>
      <w:tr w:rsidR="00236235" w:rsidRPr="003E39F0" w:rsidTr="00236235">
        <w:trPr>
          <w:trHeight w:val="218"/>
        </w:trPr>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szCs w:val="18"/>
              </w:rPr>
            </w:pPr>
            <w:r w:rsidRPr="003E39F0">
              <w:rPr>
                <w:rFonts w:cs="Arial"/>
                <w:szCs w:val="18"/>
              </w:rPr>
              <w:t>Contrat d’échange de devises</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Nominal de la (les) jambe(s)</w:t>
            </w:r>
          </w:p>
        </w:tc>
      </w:tr>
      <w:tr w:rsidR="00236235" w:rsidRPr="003E39F0" w:rsidTr="00236235">
        <w:trPr>
          <w:trHeight w:val="230"/>
        </w:trPr>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szCs w:val="18"/>
                <w:lang w:val="en-GB"/>
              </w:rPr>
            </w:pPr>
            <w:r w:rsidRPr="003E39F0">
              <w:rPr>
                <w:rFonts w:cs="Arial"/>
                <w:szCs w:val="18"/>
                <w:lang w:val="en-GB"/>
              </w:rPr>
              <w:t>Cross currency Interest Rate Swaps</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Nominal de la (les) jambe(s)</w:t>
            </w:r>
          </w:p>
        </w:tc>
      </w:tr>
      <w:tr w:rsidR="00236235" w:rsidRPr="003E39F0" w:rsidTr="00236235">
        <w:trPr>
          <w:trHeight w:val="173"/>
        </w:trPr>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szCs w:val="18"/>
              </w:rPr>
            </w:pPr>
            <w:r w:rsidRPr="003E39F0">
              <w:rPr>
                <w:rFonts w:cs="Arial"/>
                <w:szCs w:val="18"/>
              </w:rPr>
              <w:t>Basic Total Return Swap</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Valeur de marché des actifs référencés</w:t>
            </w:r>
          </w:p>
        </w:tc>
      </w:tr>
      <w:tr w:rsidR="00236235" w:rsidRPr="003E39F0" w:rsidTr="00236235">
        <w:trPr>
          <w:trHeight w:val="196"/>
        </w:trPr>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szCs w:val="18"/>
                <w:lang w:val="en-GB"/>
              </w:rPr>
            </w:pPr>
            <w:r w:rsidRPr="003E39F0">
              <w:rPr>
                <w:rFonts w:cs="Arial"/>
                <w:szCs w:val="18"/>
                <w:lang w:val="en-GB"/>
              </w:rPr>
              <w:t>Non-Basic Total Return Swap</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Valeur de marché cumulée des deux jambes du total return swap</w:t>
            </w:r>
          </w:p>
          <w:p w:rsidR="00236235" w:rsidRPr="003E39F0" w:rsidRDefault="00236235" w:rsidP="00C75CA4">
            <w:pPr>
              <w:jc w:val="left"/>
              <w:rPr>
                <w:rFonts w:cs="Arial"/>
                <w:szCs w:val="18"/>
              </w:rPr>
            </w:pPr>
          </w:p>
        </w:tc>
      </w:tr>
      <w:tr w:rsidR="00236235" w:rsidRPr="003E39F0" w:rsidTr="00236235">
        <w:trPr>
          <w:trHeight w:val="207"/>
        </w:trPr>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i/>
                <w:szCs w:val="18"/>
                <w:lang w:val="en-GB"/>
              </w:rPr>
            </w:pPr>
            <w:r w:rsidRPr="003E39F0">
              <w:rPr>
                <w:rFonts w:cs="Arial"/>
                <w:i/>
                <w:szCs w:val="18"/>
                <w:lang w:val="en-GB"/>
              </w:rPr>
              <w:t>« Credit Default Swap Single Name »</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Vendeur de Protection  – maximum de la valeur de marché de l’actif sous-jacent et du nominal du CDS</w:t>
            </w:r>
          </w:p>
          <w:p w:rsidR="00236235" w:rsidRPr="003E39F0" w:rsidRDefault="00236235" w:rsidP="00C75CA4">
            <w:pPr>
              <w:jc w:val="left"/>
              <w:rPr>
                <w:rFonts w:cs="Arial"/>
                <w:szCs w:val="18"/>
              </w:rPr>
            </w:pPr>
            <w:r w:rsidRPr="003E39F0">
              <w:rPr>
                <w:rFonts w:cs="Arial"/>
                <w:szCs w:val="18"/>
              </w:rPr>
              <w:t>Acheteur de Protection – Valeur de marché de l’actif sous-jacent</w:t>
            </w:r>
          </w:p>
        </w:tc>
      </w:tr>
      <w:tr w:rsidR="00236235" w:rsidRPr="003E39F0" w:rsidTr="00236235">
        <w:trPr>
          <w:trHeight w:val="196"/>
        </w:trPr>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i/>
                <w:szCs w:val="18"/>
              </w:rPr>
            </w:pPr>
            <w:r w:rsidRPr="003E39F0">
              <w:rPr>
                <w:rFonts w:cs="Arial"/>
                <w:i/>
                <w:szCs w:val="18"/>
              </w:rPr>
              <w:t>« </w:t>
            </w:r>
            <w:proofErr w:type="spellStart"/>
            <w:r w:rsidRPr="003E39F0">
              <w:rPr>
                <w:rFonts w:cs="Arial"/>
                <w:i/>
                <w:szCs w:val="18"/>
              </w:rPr>
              <w:t>Contract</w:t>
            </w:r>
            <w:proofErr w:type="spellEnd"/>
            <w:r w:rsidRPr="003E39F0">
              <w:rPr>
                <w:rFonts w:cs="Arial"/>
                <w:i/>
                <w:szCs w:val="18"/>
              </w:rPr>
              <w:t xml:space="preserve"> for </w:t>
            </w:r>
            <w:proofErr w:type="spellStart"/>
            <w:r w:rsidRPr="003E39F0">
              <w:rPr>
                <w:rFonts w:cs="Arial"/>
                <w:i/>
                <w:szCs w:val="18"/>
              </w:rPr>
              <w:t>Differences</w:t>
            </w:r>
            <w:proofErr w:type="spellEnd"/>
            <w:r w:rsidRPr="003E39F0">
              <w:rPr>
                <w:rFonts w:cs="Arial"/>
                <w:i/>
                <w:szCs w:val="18"/>
              </w:rPr>
              <w:t> »</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Nombre d’actions/obligations * valeur de marché de l’instrument sous-jacent</w:t>
            </w:r>
          </w:p>
        </w:tc>
      </w:tr>
      <w:tr w:rsidR="00236235" w:rsidRPr="003E39F0" w:rsidTr="00236235">
        <w:trPr>
          <w:trHeight w:val="150"/>
        </w:trPr>
        <w:tc>
          <w:tcPr>
            <w:tcW w:w="817" w:type="dxa"/>
            <w:vMerge w:val="restart"/>
            <w:shd w:val="clear" w:color="auto" w:fill="auto"/>
            <w:textDirection w:val="btLr"/>
            <w:vAlign w:val="center"/>
          </w:tcPr>
          <w:p w:rsidR="00236235" w:rsidRPr="003E39F0" w:rsidRDefault="00236235" w:rsidP="00C75CA4">
            <w:pPr>
              <w:ind w:left="113" w:right="113"/>
              <w:rPr>
                <w:rFonts w:cs="Arial"/>
                <w:szCs w:val="18"/>
              </w:rPr>
            </w:pPr>
            <w:r w:rsidRPr="003E39F0">
              <w:rPr>
                <w:rFonts w:cs="Arial"/>
                <w:szCs w:val="18"/>
              </w:rPr>
              <w:t xml:space="preserve">Contrats </w:t>
            </w:r>
            <w:proofErr w:type="spellStart"/>
            <w:r w:rsidRPr="003E39F0">
              <w:rPr>
                <w:rFonts w:cs="Arial"/>
                <w:szCs w:val="18"/>
              </w:rPr>
              <w:t>Forwards</w:t>
            </w:r>
            <w:proofErr w:type="spellEnd"/>
          </w:p>
        </w:tc>
        <w:tc>
          <w:tcPr>
            <w:tcW w:w="2126" w:type="dxa"/>
            <w:shd w:val="clear" w:color="auto" w:fill="auto"/>
          </w:tcPr>
          <w:p w:rsidR="00236235" w:rsidRPr="003E39F0" w:rsidRDefault="00236235" w:rsidP="00C75CA4">
            <w:pPr>
              <w:jc w:val="left"/>
              <w:rPr>
                <w:rFonts w:cs="Arial"/>
                <w:szCs w:val="18"/>
              </w:rPr>
            </w:pPr>
            <w:r w:rsidRPr="003E39F0">
              <w:rPr>
                <w:rFonts w:cs="Arial"/>
                <w:szCs w:val="18"/>
              </w:rPr>
              <w:t xml:space="preserve">Contrat </w:t>
            </w:r>
            <w:proofErr w:type="spellStart"/>
            <w:r w:rsidRPr="003E39F0">
              <w:rPr>
                <w:rFonts w:cs="Arial"/>
                <w:szCs w:val="18"/>
              </w:rPr>
              <w:t>forward</w:t>
            </w:r>
            <w:proofErr w:type="spellEnd"/>
            <w:r w:rsidRPr="003E39F0">
              <w:rPr>
                <w:rFonts w:cs="Arial"/>
                <w:szCs w:val="18"/>
              </w:rPr>
              <w:t xml:space="preserve"> de devises</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Nominal de la (les) jambe(s)</w:t>
            </w:r>
          </w:p>
        </w:tc>
      </w:tr>
      <w:tr w:rsidR="00236235" w:rsidRPr="003E39F0" w:rsidTr="00236235">
        <w:trPr>
          <w:trHeight w:val="537"/>
        </w:trPr>
        <w:tc>
          <w:tcPr>
            <w:tcW w:w="817" w:type="dxa"/>
            <w:vMerge/>
            <w:shd w:val="clear" w:color="auto" w:fill="auto"/>
          </w:tcPr>
          <w:p w:rsidR="00236235" w:rsidRPr="003E39F0" w:rsidRDefault="00236235" w:rsidP="00C75CA4">
            <w:pPr>
              <w:rPr>
                <w:rFonts w:cs="Arial"/>
                <w:szCs w:val="18"/>
              </w:rPr>
            </w:pPr>
          </w:p>
        </w:tc>
        <w:tc>
          <w:tcPr>
            <w:tcW w:w="2126" w:type="dxa"/>
            <w:shd w:val="clear" w:color="auto" w:fill="auto"/>
          </w:tcPr>
          <w:p w:rsidR="00236235" w:rsidRPr="003E39F0" w:rsidRDefault="00236235" w:rsidP="00C75CA4">
            <w:pPr>
              <w:jc w:val="left"/>
              <w:rPr>
                <w:rFonts w:cs="Arial"/>
                <w:szCs w:val="18"/>
              </w:rPr>
            </w:pPr>
            <w:proofErr w:type="spellStart"/>
            <w:r w:rsidRPr="003E39F0">
              <w:rPr>
                <w:rFonts w:cs="Arial"/>
                <w:szCs w:val="18"/>
              </w:rPr>
              <w:t>Forward</w:t>
            </w:r>
            <w:proofErr w:type="spellEnd"/>
            <w:r w:rsidRPr="003E39F0">
              <w:rPr>
                <w:rFonts w:cs="Arial"/>
                <w:szCs w:val="18"/>
              </w:rPr>
              <w:t xml:space="preserve"> Rate Agreement</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Nominal</w:t>
            </w:r>
          </w:p>
        </w:tc>
      </w:tr>
      <w:tr w:rsidR="00236235" w:rsidRPr="003E39F0" w:rsidTr="00236235">
        <w:trPr>
          <w:trHeight w:val="678"/>
        </w:trPr>
        <w:tc>
          <w:tcPr>
            <w:tcW w:w="2943" w:type="dxa"/>
            <w:gridSpan w:val="2"/>
            <w:shd w:val="clear" w:color="auto" w:fill="auto"/>
          </w:tcPr>
          <w:p w:rsidR="00236235" w:rsidRPr="003E39F0" w:rsidRDefault="00236235" w:rsidP="00C75CA4">
            <w:pPr>
              <w:jc w:val="left"/>
              <w:rPr>
                <w:rFonts w:cs="Arial"/>
                <w:szCs w:val="18"/>
              </w:rPr>
            </w:pPr>
            <w:r w:rsidRPr="003E39F0">
              <w:rPr>
                <w:rFonts w:cs="Arial"/>
                <w:szCs w:val="18"/>
              </w:rPr>
              <w:t>Surexposition à des indices ou indices à levier intégré</w:t>
            </w:r>
          </w:p>
        </w:tc>
        <w:tc>
          <w:tcPr>
            <w:tcW w:w="6269" w:type="dxa"/>
            <w:shd w:val="clear" w:color="auto" w:fill="auto"/>
          </w:tcPr>
          <w:p w:rsidR="00236235" w:rsidRPr="003E39F0" w:rsidRDefault="00236235" w:rsidP="00C75CA4">
            <w:pPr>
              <w:jc w:val="left"/>
              <w:rPr>
                <w:rFonts w:cs="Arial"/>
                <w:szCs w:val="18"/>
              </w:rPr>
            </w:pPr>
            <w:r w:rsidRPr="003E39F0">
              <w:rPr>
                <w:rFonts w:cs="Arial"/>
                <w:szCs w:val="18"/>
              </w:rPr>
              <w:t>Un contrat financier permettant une surexposition à un indice sous-jacent, ou un indice offrant une surexposition doit appliquer l’approche standard du calcul de l’engagement aux actifs en question.</w:t>
            </w:r>
          </w:p>
        </w:tc>
      </w:tr>
    </w:tbl>
    <w:p w:rsidR="00236235" w:rsidRDefault="00236235" w:rsidP="007C7FA3">
      <w:pPr>
        <w:pStyle w:val="NormalWeb"/>
        <w:spacing w:before="0" w:beforeAutospacing="0" w:after="0" w:afterAutospacing="0" w:line="240" w:lineRule="atLeast"/>
        <w:jc w:val="both"/>
        <w:rPr>
          <w:rFonts w:ascii="Arial" w:hAnsi="Arial" w:cs="Arial"/>
          <w:sz w:val="18"/>
          <w:szCs w:val="18"/>
        </w:rPr>
      </w:pPr>
    </w:p>
    <w:sectPr w:rsidR="00236235" w:rsidSect="004814A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851" w:rsidRDefault="000A6851">
      <w:r>
        <w:separator/>
      </w:r>
    </w:p>
  </w:endnote>
  <w:endnote w:type="continuationSeparator" w:id="0">
    <w:p w:rsidR="000A6851" w:rsidRDefault="000A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Default="00BF39DA"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rsidR="00BF39DA" w:rsidRDefault="00BF39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D6" w:rsidRDefault="00DC45D6"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7C7FA3">
      <w:rPr>
        <w:rStyle w:val="Numrodepage0"/>
        <w:noProof/>
        <w:color w:val="808080"/>
        <w:szCs w:val="16"/>
      </w:rPr>
      <w:t>2</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7C7FA3">
      <w:rPr>
        <w:rStyle w:val="Numrodepage0"/>
        <w:noProof/>
        <w:color w:val="808080"/>
      </w:rPr>
      <w:t>2</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D6" w:rsidRPr="00DC45D6" w:rsidRDefault="00DC45D6"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4B583A">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4B583A">
      <w:rPr>
        <w:rStyle w:val="Numrodepage0"/>
        <w:noProof/>
        <w:color w:val="808080"/>
        <w:sz w:val="16"/>
      </w:rPr>
      <w:t>1</w:t>
    </w:r>
    <w:r w:rsidRPr="00433BB1">
      <w:rPr>
        <w:rStyle w:val="Numrodepage0"/>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851" w:rsidRDefault="000A6851">
      <w:r>
        <w:separator/>
      </w:r>
    </w:p>
  </w:footnote>
  <w:footnote w:type="continuationSeparator" w:id="0">
    <w:p w:rsidR="000A6851" w:rsidRDefault="000A6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FA3" w:rsidRDefault="007C7F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Pr="00A951BF" w:rsidRDefault="00E94580" w:rsidP="002C60E8">
    <w:pPr>
      <w:pStyle w:val="numrodepage"/>
      <w:pBdr>
        <w:bottom w:val="single" w:sz="4" w:space="1" w:color="808080"/>
      </w:pBdr>
      <w:spacing w:line="240" w:lineRule="auto"/>
      <w:ind w:left="1134"/>
      <w:jc w:val="both"/>
    </w:pPr>
    <w:r>
      <w:rPr>
        <w:noProof/>
        <w:szCs w:val="16"/>
      </w:rPr>
      <w:drawing>
        <wp:anchor distT="0" distB="0" distL="114300" distR="114300" simplePos="0" relativeHeight="251657216" behindDoc="0" locked="0" layoutInCell="1" allowOverlap="1" wp14:anchorId="7A75EEDF" wp14:editId="1959CE8F">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235">
      <w:rPr>
        <w:noProof/>
        <w:szCs w:val="16"/>
      </w:rPr>
      <w:t>Formules de calcul de l’engagement par conversion des contrats financiers standards en valeur de marché de la position équivalente sur l’actif sous-jacent</w:t>
    </w:r>
    <w:r w:rsidR="00BF39DA" w:rsidRPr="00A951BF">
      <w:t xml:space="preserve"> </w:t>
    </w:r>
    <w:r w:rsidR="00BF39DA">
      <w:t>–</w:t>
    </w:r>
    <w:r w:rsidR="00BF39DA" w:rsidRPr="003A01BF">
      <w:rPr>
        <w:szCs w:val="16"/>
      </w:rPr>
      <w:t xml:space="preserve"> </w:t>
    </w:r>
    <w:r w:rsidR="00236235">
      <w:rPr>
        <w:szCs w:val="16"/>
      </w:rPr>
      <w:t xml:space="preserve">Annexe </w:t>
    </w:r>
    <w:r w:rsidR="00BF39DA">
      <w:rPr>
        <w:szCs w:val="16"/>
      </w:rPr>
      <w:t>I</w:t>
    </w:r>
    <w:r w:rsidR="00236235">
      <w:rPr>
        <w:szCs w:val="16"/>
      </w:rPr>
      <w:t xml:space="preserve"> de l’instruction n° 2011-15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A" w:rsidRDefault="00E94580">
    <w:pPr>
      <w:pStyle w:val="En-tte"/>
    </w:pPr>
    <w:r>
      <w:rPr>
        <w:noProof/>
      </w:rPr>
      <w:drawing>
        <wp:anchor distT="0" distB="0" distL="114300" distR="114300" simplePos="0" relativeHeight="251658240" behindDoc="0" locked="0" layoutInCell="1" allowOverlap="1">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3"/>
  </w:num>
  <w:num w:numId="5">
    <w:abstractNumId w:val="3"/>
  </w:num>
  <w:num w:numId="6">
    <w:abstractNumId w:val="3"/>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2"/>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7626"/>
    <w:rsid w:val="00036098"/>
    <w:rsid w:val="00044F3C"/>
    <w:rsid w:val="00076042"/>
    <w:rsid w:val="00085291"/>
    <w:rsid w:val="000A047D"/>
    <w:rsid w:val="000A6851"/>
    <w:rsid w:val="000B6A60"/>
    <w:rsid w:val="000C50E8"/>
    <w:rsid w:val="000E1570"/>
    <w:rsid w:val="00134785"/>
    <w:rsid w:val="001420C6"/>
    <w:rsid w:val="00142345"/>
    <w:rsid w:val="00163A04"/>
    <w:rsid w:val="00167465"/>
    <w:rsid w:val="00184E77"/>
    <w:rsid w:val="0018617B"/>
    <w:rsid w:val="00197710"/>
    <w:rsid w:val="001A2EAA"/>
    <w:rsid w:val="001B338E"/>
    <w:rsid w:val="001B6B35"/>
    <w:rsid w:val="001C34E7"/>
    <w:rsid w:val="001C72F4"/>
    <w:rsid w:val="001D39C5"/>
    <w:rsid w:val="001E386C"/>
    <w:rsid w:val="001F7921"/>
    <w:rsid w:val="0021426E"/>
    <w:rsid w:val="00220079"/>
    <w:rsid w:val="00236235"/>
    <w:rsid w:val="002449BD"/>
    <w:rsid w:val="00245C1E"/>
    <w:rsid w:val="0024691B"/>
    <w:rsid w:val="0025322C"/>
    <w:rsid w:val="00257248"/>
    <w:rsid w:val="002577FD"/>
    <w:rsid w:val="00263FE8"/>
    <w:rsid w:val="002755C9"/>
    <w:rsid w:val="002C60E8"/>
    <w:rsid w:val="002D2678"/>
    <w:rsid w:val="002D57A4"/>
    <w:rsid w:val="002E2273"/>
    <w:rsid w:val="002E38B4"/>
    <w:rsid w:val="002E5019"/>
    <w:rsid w:val="002F5EF0"/>
    <w:rsid w:val="00304E24"/>
    <w:rsid w:val="00321843"/>
    <w:rsid w:val="0032281A"/>
    <w:rsid w:val="00322E2B"/>
    <w:rsid w:val="0032306F"/>
    <w:rsid w:val="0033556A"/>
    <w:rsid w:val="00340BD7"/>
    <w:rsid w:val="00341508"/>
    <w:rsid w:val="003466B9"/>
    <w:rsid w:val="00355497"/>
    <w:rsid w:val="00363DDE"/>
    <w:rsid w:val="00374A3E"/>
    <w:rsid w:val="00377554"/>
    <w:rsid w:val="003865D5"/>
    <w:rsid w:val="00393AB5"/>
    <w:rsid w:val="003A01BF"/>
    <w:rsid w:val="003C5DF9"/>
    <w:rsid w:val="003E65CE"/>
    <w:rsid w:val="003E71C7"/>
    <w:rsid w:val="00413CA3"/>
    <w:rsid w:val="00415E72"/>
    <w:rsid w:val="0042410B"/>
    <w:rsid w:val="00431165"/>
    <w:rsid w:val="00433BB1"/>
    <w:rsid w:val="00455599"/>
    <w:rsid w:val="004617E3"/>
    <w:rsid w:val="004737D3"/>
    <w:rsid w:val="00477F8B"/>
    <w:rsid w:val="004814A4"/>
    <w:rsid w:val="00495E36"/>
    <w:rsid w:val="00497AA8"/>
    <w:rsid w:val="004B1A3B"/>
    <w:rsid w:val="004B3E5B"/>
    <w:rsid w:val="004B583A"/>
    <w:rsid w:val="004C1780"/>
    <w:rsid w:val="004C1952"/>
    <w:rsid w:val="004D00FC"/>
    <w:rsid w:val="004D64AD"/>
    <w:rsid w:val="004E51ED"/>
    <w:rsid w:val="004E771E"/>
    <w:rsid w:val="004F5960"/>
    <w:rsid w:val="0054496A"/>
    <w:rsid w:val="0055795E"/>
    <w:rsid w:val="005748B4"/>
    <w:rsid w:val="0057595C"/>
    <w:rsid w:val="005764BE"/>
    <w:rsid w:val="0058154B"/>
    <w:rsid w:val="00590F6F"/>
    <w:rsid w:val="0059682A"/>
    <w:rsid w:val="005A2524"/>
    <w:rsid w:val="005A2543"/>
    <w:rsid w:val="005A5A5B"/>
    <w:rsid w:val="005A7800"/>
    <w:rsid w:val="005B2D20"/>
    <w:rsid w:val="005B4F2F"/>
    <w:rsid w:val="005C26F1"/>
    <w:rsid w:val="005C5770"/>
    <w:rsid w:val="005E4F8D"/>
    <w:rsid w:val="00604185"/>
    <w:rsid w:val="00641DC0"/>
    <w:rsid w:val="00657B40"/>
    <w:rsid w:val="0068702C"/>
    <w:rsid w:val="00692B21"/>
    <w:rsid w:val="006C255E"/>
    <w:rsid w:val="006C45B2"/>
    <w:rsid w:val="006C4A03"/>
    <w:rsid w:val="006D3103"/>
    <w:rsid w:val="006D77DB"/>
    <w:rsid w:val="006E0721"/>
    <w:rsid w:val="006F7A29"/>
    <w:rsid w:val="00704E3E"/>
    <w:rsid w:val="00717D44"/>
    <w:rsid w:val="007208A7"/>
    <w:rsid w:val="007435DA"/>
    <w:rsid w:val="00744425"/>
    <w:rsid w:val="00745AFB"/>
    <w:rsid w:val="00765A59"/>
    <w:rsid w:val="00770D55"/>
    <w:rsid w:val="007731B4"/>
    <w:rsid w:val="00777A27"/>
    <w:rsid w:val="00780098"/>
    <w:rsid w:val="007925F8"/>
    <w:rsid w:val="007A0127"/>
    <w:rsid w:val="007A3D4C"/>
    <w:rsid w:val="007A7558"/>
    <w:rsid w:val="007C7FA3"/>
    <w:rsid w:val="007D49C2"/>
    <w:rsid w:val="007F1235"/>
    <w:rsid w:val="007F51C2"/>
    <w:rsid w:val="00805F2F"/>
    <w:rsid w:val="00807E98"/>
    <w:rsid w:val="00830344"/>
    <w:rsid w:val="00835784"/>
    <w:rsid w:val="008510A2"/>
    <w:rsid w:val="00863BF5"/>
    <w:rsid w:val="00875DC7"/>
    <w:rsid w:val="008863FB"/>
    <w:rsid w:val="00891583"/>
    <w:rsid w:val="00895538"/>
    <w:rsid w:val="008B4659"/>
    <w:rsid w:val="008C101A"/>
    <w:rsid w:val="008E16FA"/>
    <w:rsid w:val="008E22BC"/>
    <w:rsid w:val="008F043C"/>
    <w:rsid w:val="008F15E2"/>
    <w:rsid w:val="008F5B0D"/>
    <w:rsid w:val="0095196D"/>
    <w:rsid w:val="0095301F"/>
    <w:rsid w:val="00955029"/>
    <w:rsid w:val="00957528"/>
    <w:rsid w:val="00957D82"/>
    <w:rsid w:val="00960CB2"/>
    <w:rsid w:val="00972A8F"/>
    <w:rsid w:val="009B3C86"/>
    <w:rsid w:val="009C6241"/>
    <w:rsid w:val="009E0393"/>
    <w:rsid w:val="009E4513"/>
    <w:rsid w:val="009F3168"/>
    <w:rsid w:val="009F4F3B"/>
    <w:rsid w:val="00A01783"/>
    <w:rsid w:val="00A06C26"/>
    <w:rsid w:val="00A27B37"/>
    <w:rsid w:val="00A51FCE"/>
    <w:rsid w:val="00A534DC"/>
    <w:rsid w:val="00A81E19"/>
    <w:rsid w:val="00A951BF"/>
    <w:rsid w:val="00AB70DE"/>
    <w:rsid w:val="00AC627B"/>
    <w:rsid w:val="00AC7C70"/>
    <w:rsid w:val="00AD433F"/>
    <w:rsid w:val="00B174A3"/>
    <w:rsid w:val="00B32044"/>
    <w:rsid w:val="00B470CF"/>
    <w:rsid w:val="00B51842"/>
    <w:rsid w:val="00B71F46"/>
    <w:rsid w:val="00B838A9"/>
    <w:rsid w:val="00B95CAC"/>
    <w:rsid w:val="00BD0D86"/>
    <w:rsid w:val="00BE401C"/>
    <w:rsid w:val="00BE5E44"/>
    <w:rsid w:val="00BE6477"/>
    <w:rsid w:val="00BE6D09"/>
    <w:rsid w:val="00BF0320"/>
    <w:rsid w:val="00BF291E"/>
    <w:rsid w:val="00BF39DA"/>
    <w:rsid w:val="00BF5F31"/>
    <w:rsid w:val="00C139DF"/>
    <w:rsid w:val="00C314F4"/>
    <w:rsid w:val="00C3160A"/>
    <w:rsid w:val="00C36E1A"/>
    <w:rsid w:val="00C458CF"/>
    <w:rsid w:val="00C67F6F"/>
    <w:rsid w:val="00C87218"/>
    <w:rsid w:val="00C87F23"/>
    <w:rsid w:val="00CB69C4"/>
    <w:rsid w:val="00CD3802"/>
    <w:rsid w:val="00CF0865"/>
    <w:rsid w:val="00D307F9"/>
    <w:rsid w:val="00D37A56"/>
    <w:rsid w:val="00D37C96"/>
    <w:rsid w:val="00D500FA"/>
    <w:rsid w:val="00D541F7"/>
    <w:rsid w:val="00D75F19"/>
    <w:rsid w:val="00D776EF"/>
    <w:rsid w:val="00D80A59"/>
    <w:rsid w:val="00D94C7A"/>
    <w:rsid w:val="00D95CBC"/>
    <w:rsid w:val="00D95FD8"/>
    <w:rsid w:val="00DB2D59"/>
    <w:rsid w:val="00DB4ABE"/>
    <w:rsid w:val="00DC45D6"/>
    <w:rsid w:val="00DC46FC"/>
    <w:rsid w:val="00DD67B2"/>
    <w:rsid w:val="00DF7C85"/>
    <w:rsid w:val="00E05C8C"/>
    <w:rsid w:val="00E10861"/>
    <w:rsid w:val="00E12C70"/>
    <w:rsid w:val="00E13ADF"/>
    <w:rsid w:val="00E238FF"/>
    <w:rsid w:val="00E30E6C"/>
    <w:rsid w:val="00E628CE"/>
    <w:rsid w:val="00E76F7C"/>
    <w:rsid w:val="00E772D8"/>
    <w:rsid w:val="00E82583"/>
    <w:rsid w:val="00E92E39"/>
    <w:rsid w:val="00E94580"/>
    <w:rsid w:val="00E95D0E"/>
    <w:rsid w:val="00E97ACA"/>
    <w:rsid w:val="00EA7710"/>
    <w:rsid w:val="00EE1238"/>
    <w:rsid w:val="00EE3331"/>
    <w:rsid w:val="00EE720C"/>
    <w:rsid w:val="00EF406C"/>
    <w:rsid w:val="00F06CB6"/>
    <w:rsid w:val="00F36185"/>
    <w:rsid w:val="00F40398"/>
    <w:rsid w:val="00F4327F"/>
    <w:rsid w:val="00F510DE"/>
    <w:rsid w:val="00F6357E"/>
    <w:rsid w:val="00F651EB"/>
    <w:rsid w:val="00F730B1"/>
    <w:rsid w:val="00F81C3C"/>
    <w:rsid w:val="00F971D8"/>
    <w:rsid w:val="00FA02E7"/>
    <w:rsid w:val="00FA0BA5"/>
    <w:rsid w:val="00FA1992"/>
    <w:rsid w:val="00FB1B98"/>
    <w:rsid w:val="00FB452C"/>
    <w:rsid w:val="00FB4D48"/>
    <w:rsid w:val="00FC6EF2"/>
    <w:rsid w:val="00FE58CB"/>
    <w:rsid w:val="00FE6056"/>
    <w:rsid w:val="00FE635B"/>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Note_college_DE_Int</Template>
  <TotalTime>0</TotalTime>
  <Pages>1</Pages>
  <Words>427</Words>
  <Characters>2353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Note présentée au Collège</vt:lpstr>
    </vt:vector>
  </TitlesOfParts>
  <Company>AMF</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présentée au Collège</dc:title>
  <dc:creator>VCartier</dc:creator>
  <cp:lastModifiedBy>VIDAL Cecile (Interimaire)</cp:lastModifiedBy>
  <cp:revision>2</cp:revision>
  <cp:lastPrinted>2011-06-28T10:25:00Z</cp:lastPrinted>
  <dcterms:created xsi:type="dcterms:W3CDTF">2018-06-26T10:48:00Z</dcterms:created>
  <dcterms:modified xsi:type="dcterms:W3CDTF">2018-06-26T10:48:00Z</dcterms:modified>
  <cp:category>Interne</cp:category>
</cp:coreProperties>
</file>