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Default="00236235" w:rsidP="00036098">
      <w:pPr>
        <w:rPr>
          <w:rFonts w:cs="Arial"/>
          <w:szCs w:val="18"/>
        </w:rPr>
      </w:pPr>
      <w:r w:rsidRPr="006A1385">
        <w:rPr>
          <w:rFonts w:cs="Arial"/>
          <w:b/>
          <w:szCs w:val="18"/>
        </w:rPr>
        <w:t xml:space="preserve">Formules </w:t>
      </w:r>
      <w:r>
        <w:rPr>
          <w:rFonts w:cs="Arial"/>
          <w:b/>
          <w:szCs w:val="18"/>
        </w:rPr>
        <w:t>de calcul de l’engagement par</w:t>
      </w:r>
      <w:r w:rsidRPr="006A1385">
        <w:rPr>
          <w:rFonts w:cs="Arial"/>
          <w:b/>
          <w:szCs w:val="18"/>
        </w:rPr>
        <w:t xml:space="preserve"> conversion </w:t>
      </w:r>
      <w:r w:rsidR="0074672E">
        <w:rPr>
          <w:rFonts w:cs="Arial"/>
          <w:b/>
          <w:szCs w:val="18"/>
        </w:rPr>
        <w:t xml:space="preserve">de dérivés intégrés </w:t>
      </w:r>
      <w:r w:rsidRPr="006A1385">
        <w:rPr>
          <w:rFonts w:cs="Arial"/>
          <w:b/>
          <w:szCs w:val="18"/>
        </w:rPr>
        <w:t>en valeur de marché de la position équivalente sur l’actif sous-jacent</w:t>
      </w:r>
    </w:p>
    <w:p w:rsidR="00236235" w:rsidRDefault="00236235" w:rsidP="00BE401C">
      <w:pPr>
        <w:rPr>
          <w:iCs/>
          <w:szCs w:val="18"/>
        </w:rPr>
      </w:pPr>
    </w:p>
    <w:p w:rsidR="00236235" w:rsidRDefault="00BE401C" w:rsidP="00236235">
      <w:pPr>
        <w:spacing w:after="120"/>
        <w:rPr>
          <w:rFonts w:cs="Arial"/>
          <w:szCs w:val="18"/>
        </w:rPr>
      </w:pPr>
      <w:r w:rsidRPr="001C5880">
        <w:rPr>
          <w:iCs/>
          <w:szCs w:val="18"/>
        </w:rPr>
        <w:t xml:space="preserve">Ce document constitue l’annexe </w:t>
      </w:r>
      <w:r w:rsidR="0074672E">
        <w:rPr>
          <w:iCs/>
          <w:szCs w:val="18"/>
        </w:rPr>
        <w:t>II</w:t>
      </w:r>
      <w:r w:rsidR="00D84AEE">
        <w:rPr>
          <w:iCs/>
          <w:szCs w:val="18"/>
        </w:rPr>
        <w:t xml:space="preserve"> de l’instruction AMF DOC-</w:t>
      </w:r>
      <w:r w:rsidR="00236235">
        <w:t>2011-15</w:t>
      </w:r>
      <w:r w:rsidRPr="001C5880">
        <w:t xml:space="preserve"> </w:t>
      </w:r>
      <w:r w:rsidRPr="00BE401C">
        <w:rPr>
          <w:rFonts w:cs="Arial"/>
          <w:szCs w:val="18"/>
        </w:rPr>
        <w:t xml:space="preserve">- Modalités de </w:t>
      </w:r>
      <w:r w:rsidR="00236235">
        <w:rPr>
          <w:rFonts w:cs="Arial"/>
          <w:szCs w:val="18"/>
        </w:rPr>
        <w:t>calcul du risque global des OPCVM et des FIA agréés.</w:t>
      </w:r>
    </w:p>
    <w:p w:rsidR="0074672E" w:rsidRDefault="0074672E" w:rsidP="00236235">
      <w:pPr>
        <w:spacing w:after="120"/>
        <w:rPr>
          <w:rFonts w:cs="Arial"/>
          <w:szCs w:val="18"/>
        </w:rPr>
      </w:pPr>
    </w:p>
    <w:p w:rsidR="0074672E" w:rsidRPr="006949D0" w:rsidRDefault="0074672E" w:rsidP="0074672E">
      <w:pPr>
        <w:jc w:val="center"/>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54"/>
      </w:tblGrid>
      <w:tr w:rsidR="0074672E" w:rsidRPr="003E39F0" w:rsidTr="00C75CA4">
        <w:tc>
          <w:tcPr>
            <w:tcW w:w="2126" w:type="dxa"/>
            <w:shd w:val="clear" w:color="auto" w:fill="auto"/>
            <w:vAlign w:val="center"/>
          </w:tcPr>
          <w:p w:rsidR="0074672E" w:rsidRPr="003E39F0" w:rsidRDefault="0074672E" w:rsidP="00C75CA4">
            <w:pPr>
              <w:jc w:val="left"/>
              <w:rPr>
                <w:rFonts w:cs="Arial"/>
                <w:szCs w:val="18"/>
              </w:rPr>
            </w:pPr>
            <w:r w:rsidRPr="003E39F0">
              <w:rPr>
                <w:rFonts w:cs="Arial"/>
                <w:szCs w:val="18"/>
              </w:rPr>
              <w:t>Obligation convertible</w:t>
            </w:r>
          </w:p>
        </w:tc>
        <w:tc>
          <w:tcPr>
            <w:tcW w:w="7054" w:type="dxa"/>
            <w:shd w:val="clear" w:color="auto" w:fill="auto"/>
            <w:vAlign w:val="center"/>
          </w:tcPr>
          <w:p w:rsidR="0074672E" w:rsidRPr="003E39F0" w:rsidRDefault="0074672E" w:rsidP="00C75CA4">
            <w:pPr>
              <w:jc w:val="left"/>
              <w:rPr>
                <w:rFonts w:cs="Arial"/>
                <w:szCs w:val="18"/>
              </w:rPr>
            </w:pPr>
            <w:r w:rsidRPr="003E39F0">
              <w:rPr>
                <w:rFonts w:cs="Arial"/>
                <w:szCs w:val="18"/>
              </w:rPr>
              <w:t>Nombre d’actions correspondantes * valeur de marché de l’action sous-jacente correspondante * delta</w:t>
            </w:r>
          </w:p>
        </w:tc>
      </w:tr>
      <w:tr w:rsidR="0074672E" w:rsidRPr="003E39F0" w:rsidTr="00C75CA4">
        <w:trPr>
          <w:trHeight w:val="364"/>
        </w:trPr>
        <w:tc>
          <w:tcPr>
            <w:tcW w:w="2126" w:type="dxa"/>
            <w:shd w:val="clear" w:color="auto" w:fill="auto"/>
            <w:vAlign w:val="center"/>
          </w:tcPr>
          <w:p w:rsidR="0074672E" w:rsidRPr="003E39F0" w:rsidRDefault="0074672E" w:rsidP="00C75CA4">
            <w:pPr>
              <w:jc w:val="left"/>
              <w:rPr>
                <w:rFonts w:cs="Arial"/>
                <w:i/>
                <w:szCs w:val="18"/>
              </w:rPr>
            </w:pPr>
            <w:r w:rsidRPr="003E39F0">
              <w:rPr>
                <w:rFonts w:cs="Arial"/>
                <w:i/>
                <w:szCs w:val="18"/>
              </w:rPr>
              <w:t>« </w:t>
            </w:r>
            <w:proofErr w:type="spellStart"/>
            <w:r w:rsidRPr="003E39F0">
              <w:rPr>
                <w:rFonts w:cs="Arial"/>
                <w:i/>
                <w:szCs w:val="18"/>
              </w:rPr>
              <w:t>Credit</w:t>
            </w:r>
            <w:proofErr w:type="spellEnd"/>
            <w:r w:rsidRPr="003E39F0">
              <w:rPr>
                <w:rFonts w:cs="Arial"/>
                <w:i/>
                <w:szCs w:val="18"/>
              </w:rPr>
              <w:t xml:space="preserve"> </w:t>
            </w:r>
            <w:proofErr w:type="spellStart"/>
            <w:r w:rsidRPr="003E39F0">
              <w:rPr>
                <w:rFonts w:cs="Arial"/>
                <w:i/>
                <w:szCs w:val="18"/>
              </w:rPr>
              <w:t>Linked</w:t>
            </w:r>
            <w:proofErr w:type="spellEnd"/>
            <w:r w:rsidRPr="003E39F0">
              <w:rPr>
                <w:rFonts w:cs="Arial"/>
                <w:i/>
                <w:szCs w:val="18"/>
              </w:rPr>
              <w:t xml:space="preserve"> Notes »</w:t>
            </w:r>
          </w:p>
        </w:tc>
        <w:tc>
          <w:tcPr>
            <w:tcW w:w="7054" w:type="dxa"/>
            <w:shd w:val="clear" w:color="auto" w:fill="auto"/>
            <w:vAlign w:val="center"/>
          </w:tcPr>
          <w:p w:rsidR="0074672E" w:rsidRPr="003E39F0" w:rsidRDefault="0074672E" w:rsidP="00C75CA4">
            <w:pPr>
              <w:jc w:val="left"/>
              <w:rPr>
                <w:rFonts w:cs="Arial"/>
                <w:szCs w:val="18"/>
              </w:rPr>
            </w:pPr>
            <w:r w:rsidRPr="003E39F0">
              <w:rPr>
                <w:rFonts w:cs="Arial"/>
                <w:szCs w:val="18"/>
              </w:rPr>
              <w:t>Valeur de marché de l’actif sous-jacent correspondant</w:t>
            </w:r>
          </w:p>
        </w:tc>
      </w:tr>
      <w:tr w:rsidR="0074672E" w:rsidRPr="003E39F0" w:rsidTr="00C75CA4">
        <w:tc>
          <w:tcPr>
            <w:tcW w:w="2126" w:type="dxa"/>
            <w:shd w:val="clear" w:color="auto" w:fill="auto"/>
            <w:vAlign w:val="center"/>
          </w:tcPr>
          <w:p w:rsidR="0074672E" w:rsidRPr="003E39F0" w:rsidRDefault="0074672E" w:rsidP="00C75CA4">
            <w:pPr>
              <w:jc w:val="left"/>
              <w:rPr>
                <w:rFonts w:cs="Arial"/>
                <w:i/>
                <w:szCs w:val="18"/>
              </w:rPr>
            </w:pPr>
            <w:r w:rsidRPr="003E39F0">
              <w:rPr>
                <w:rFonts w:cs="Arial"/>
                <w:i/>
                <w:szCs w:val="18"/>
              </w:rPr>
              <w:t>« </w:t>
            </w:r>
            <w:proofErr w:type="spellStart"/>
            <w:r w:rsidRPr="003E39F0">
              <w:rPr>
                <w:rFonts w:cs="Arial"/>
                <w:i/>
                <w:szCs w:val="18"/>
              </w:rPr>
              <w:t>Partly</w:t>
            </w:r>
            <w:proofErr w:type="spellEnd"/>
            <w:r w:rsidRPr="003E39F0">
              <w:rPr>
                <w:rFonts w:cs="Arial"/>
                <w:i/>
                <w:szCs w:val="18"/>
              </w:rPr>
              <w:t xml:space="preserve"> </w:t>
            </w:r>
            <w:proofErr w:type="spellStart"/>
            <w:r w:rsidRPr="003E39F0">
              <w:rPr>
                <w:rFonts w:cs="Arial"/>
                <w:i/>
                <w:szCs w:val="18"/>
              </w:rPr>
              <w:t>Paid</w:t>
            </w:r>
            <w:proofErr w:type="spellEnd"/>
            <w:r w:rsidRPr="003E39F0">
              <w:rPr>
                <w:rFonts w:cs="Arial"/>
                <w:i/>
                <w:szCs w:val="18"/>
              </w:rPr>
              <w:t xml:space="preserve"> Securities »</w:t>
            </w:r>
          </w:p>
        </w:tc>
        <w:tc>
          <w:tcPr>
            <w:tcW w:w="7054" w:type="dxa"/>
            <w:shd w:val="clear" w:color="auto" w:fill="auto"/>
            <w:vAlign w:val="center"/>
          </w:tcPr>
          <w:p w:rsidR="0074672E" w:rsidRPr="003E39F0" w:rsidRDefault="0074672E" w:rsidP="00C75CA4">
            <w:pPr>
              <w:jc w:val="left"/>
              <w:rPr>
                <w:rFonts w:cs="Arial"/>
                <w:szCs w:val="18"/>
              </w:rPr>
            </w:pPr>
            <w:r w:rsidRPr="003E39F0">
              <w:rPr>
                <w:rFonts w:cs="Arial"/>
                <w:szCs w:val="18"/>
              </w:rPr>
              <w:t>Nombre d’actions/obligations * valeur de marché de l’instrument sous-jacent correspondant</w:t>
            </w:r>
          </w:p>
        </w:tc>
      </w:tr>
      <w:tr w:rsidR="0074672E" w:rsidRPr="003E39F0" w:rsidTr="00C75CA4">
        <w:tc>
          <w:tcPr>
            <w:tcW w:w="2126" w:type="dxa"/>
            <w:shd w:val="clear" w:color="auto" w:fill="auto"/>
            <w:vAlign w:val="center"/>
          </w:tcPr>
          <w:p w:rsidR="0074672E" w:rsidRPr="003E39F0" w:rsidRDefault="0074672E" w:rsidP="00C75CA4">
            <w:pPr>
              <w:jc w:val="left"/>
              <w:rPr>
                <w:rFonts w:cs="Arial"/>
                <w:szCs w:val="18"/>
              </w:rPr>
            </w:pPr>
            <w:r w:rsidRPr="003E39F0">
              <w:rPr>
                <w:rFonts w:cs="Arial"/>
                <w:i/>
                <w:szCs w:val="18"/>
              </w:rPr>
              <w:t>« Warrants »</w:t>
            </w:r>
            <w:r w:rsidRPr="003E39F0">
              <w:rPr>
                <w:rFonts w:cs="Arial"/>
                <w:szCs w:val="18"/>
              </w:rPr>
              <w:t xml:space="preserve"> et bons de souscription</w:t>
            </w:r>
          </w:p>
        </w:tc>
        <w:tc>
          <w:tcPr>
            <w:tcW w:w="7054" w:type="dxa"/>
            <w:shd w:val="clear" w:color="auto" w:fill="auto"/>
            <w:vAlign w:val="center"/>
          </w:tcPr>
          <w:p w:rsidR="0074672E" w:rsidRPr="003E39F0" w:rsidRDefault="0074672E" w:rsidP="00C75CA4">
            <w:pPr>
              <w:jc w:val="left"/>
              <w:rPr>
                <w:rFonts w:cs="Arial"/>
                <w:szCs w:val="18"/>
              </w:rPr>
            </w:pPr>
            <w:r w:rsidRPr="003E39F0">
              <w:rPr>
                <w:rFonts w:cs="Arial"/>
                <w:szCs w:val="18"/>
              </w:rPr>
              <w:t>Nombre d’actions/obligations * valeur de marché de l’instrument sous-jacent correspondant * delta</w:t>
            </w:r>
          </w:p>
        </w:tc>
      </w:tr>
    </w:tbl>
    <w:p w:rsidR="0074672E" w:rsidRPr="00BE401C" w:rsidRDefault="0074672E" w:rsidP="00236235">
      <w:pPr>
        <w:spacing w:after="120"/>
        <w:rPr>
          <w:rFonts w:cs="Arial"/>
          <w:szCs w:val="18"/>
        </w:rPr>
      </w:pPr>
    </w:p>
    <w:p w:rsidR="00236235" w:rsidRDefault="00236235" w:rsidP="00236235">
      <w:pPr>
        <w:pStyle w:val="NormalWeb"/>
        <w:spacing w:before="0" w:beforeAutospacing="0" w:after="0" w:afterAutospacing="0" w:line="240" w:lineRule="atLeast"/>
        <w:jc w:val="both"/>
        <w:rPr>
          <w:rFonts w:ascii="Arial" w:hAnsi="Arial" w:cs="Arial"/>
          <w:sz w:val="18"/>
          <w:szCs w:val="18"/>
        </w:rPr>
      </w:pPr>
      <w:bookmarkStart w:id="0" w:name="_GoBack"/>
      <w:bookmarkEnd w:id="0"/>
    </w:p>
    <w:sectPr w:rsidR="00236235" w:rsidSect="004814A4">
      <w:headerReference w:type="default" r:id="rId8"/>
      <w:footerReference w:type="even" r:id="rId9"/>
      <w:footerReference w:type="default" r:id="rId10"/>
      <w:headerReference w:type="first" r:id="rId11"/>
      <w:footerReference w:type="first" r:id="rId12"/>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E7" w:rsidRDefault="007038E7">
      <w:r>
        <w:separator/>
      </w:r>
    </w:p>
  </w:endnote>
  <w:endnote w:type="continuationSeparator" w:id="0">
    <w:p w:rsidR="007038E7" w:rsidRDefault="0070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236235">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236235">
      <w:rPr>
        <w:rStyle w:val="Numrodepage0"/>
        <w:noProof/>
        <w:color w:val="808080"/>
      </w:rPr>
      <w:t>2</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D84AEE">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D84AEE">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E7" w:rsidRDefault="007038E7">
      <w:r>
        <w:separator/>
      </w:r>
    </w:p>
  </w:footnote>
  <w:footnote w:type="continuationSeparator" w:id="0">
    <w:p w:rsidR="007038E7" w:rsidRDefault="00703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865D5"/>
    <w:rsid w:val="00393AB5"/>
    <w:rsid w:val="003A01BF"/>
    <w:rsid w:val="003C5DF9"/>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B1A3B"/>
    <w:rsid w:val="004B3E5B"/>
    <w:rsid w:val="004C1780"/>
    <w:rsid w:val="004C1952"/>
    <w:rsid w:val="004D00FC"/>
    <w:rsid w:val="004D64AD"/>
    <w:rsid w:val="004E51ED"/>
    <w:rsid w:val="004E771E"/>
    <w:rsid w:val="004F5960"/>
    <w:rsid w:val="0054496A"/>
    <w:rsid w:val="0055795E"/>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604185"/>
    <w:rsid w:val="00641DC0"/>
    <w:rsid w:val="00657B40"/>
    <w:rsid w:val="0068702C"/>
    <w:rsid w:val="00692B21"/>
    <w:rsid w:val="006C255E"/>
    <w:rsid w:val="006C45B2"/>
    <w:rsid w:val="006C4A03"/>
    <w:rsid w:val="006D3103"/>
    <w:rsid w:val="006D77DB"/>
    <w:rsid w:val="006E0721"/>
    <w:rsid w:val="006F7A29"/>
    <w:rsid w:val="007038E7"/>
    <w:rsid w:val="00704E3E"/>
    <w:rsid w:val="00717D44"/>
    <w:rsid w:val="007208A7"/>
    <w:rsid w:val="007435DA"/>
    <w:rsid w:val="00744425"/>
    <w:rsid w:val="00745AFB"/>
    <w:rsid w:val="0074672E"/>
    <w:rsid w:val="00765A59"/>
    <w:rsid w:val="00770D55"/>
    <w:rsid w:val="007731B4"/>
    <w:rsid w:val="00777A27"/>
    <w:rsid w:val="00780098"/>
    <w:rsid w:val="007925F8"/>
    <w:rsid w:val="007A0127"/>
    <w:rsid w:val="007A3D4C"/>
    <w:rsid w:val="007A7558"/>
    <w:rsid w:val="007D49C2"/>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E16FA"/>
    <w:rsid w:val="008E22BC"/>
    <w:rsid w:val="008F043C"/>
    <w:rsid w:val="008F15E2"/>
    <w:rsid w:val="008F5B0D"/>
    <w:rsid w:val="0095196D"/>
    <w:rsid w:val="0095301F"/>
    <w:rsid w:val="00955029"/>
    <w:rsid w:val="00957528"/>
    <w:rsid w:val="00957D82"/>
    <w:rsid w:val="00960CB2"/>
    <w:rsid w:val="00972A8F"/>
    <w:rsid w:val="009B3C86"/>
    <w:rsid w:val="009C6241"/>
    <w:rsid w:val="009E0393"/>
    <w:rsid w:val="009E4513"/>
    <w:rsid w:val="009F3168"/>
    <w:rsid w:val="009F4F3B"/>
    <w:rsid w:val="00A01783"/>
    <w:rsid w:val="00A06C26"/>
    <w:rsid w:val="00A27B37"/>
    <w:rsid w:val="00A51FCE"/>
    <w:rsid w:val="00A534DC"/>
    <w:rsid w:val="00A81E19"/>
    <w:rsid w:val="00A951BF"/>
    <w:rsid w:val="00AB70DE"/>
    <w:rsid w:val="00AC627B"/>
    <w:rsid w:val="00AC7C70"/>
    <w:rsid w:val="00AD433F"/>
    <w:rsid w:val="00B174A3"/>
    <w:rsid w:val="00B32044"/>
    <w:rsid w:val="00B470CF"/>
    <w:rsid w:val="00B51842"/>
    <w:rsid w:val="00B71F46"/>
    <w:rsid w:val="00B838A9"/>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87218"/>
    <w:rsid w:val="00C87F23"/>
    <w:rsid w:val="00CB69C4"/>
    <w:rsid w:val="00CD3802"/>
    <w:rsid w:val="00CF0865"/>
    <w:rsid w:val="00CF585E"/>
    <w:rsid w:val="00D307F9"/>
    <w:rsid w:val="00D37A56"/>
    <w:rsid w:val="00D37C96"/>
    <w:rsid w:val="00D500FA"/>
    <w:rsid w:val="00D541F7"/>
    <w:rsid w:val="00D75F19"/>
    <w:rsid w:val="00D776EF"/>
    <w:rsid w:val="00D80A59"/>
    <w:rsid w:val="00D84AEE"/>
    <w:rsid w:val="00D94C7A"/>
    <w:rsid w:val="00D958B3"/>
    <w:rsid w:val="00D95CBC"/>
    <w:rsid w:val="00DB2D59"/>
    <w:rsid w:val="00DB4ABE"/>
    <w:rsid w:val="00DC45D6"/>
    <w:rsid w:val="00DC46FC"/>
    <w:rsid w:val="00DD67B2"/>
    <w:rsid w:val="00DF7C85"/>
    <w:rsid w:val="00E05C8C"/>
    <w:rsid w:val="00E10861"/>
    <w:rsid w:val="00E12C70"/>
    <w:rsid w:val="00E13ADF"/>
    <w:rsid w:val="00E238FF"/>
    <w:rsid w:val="00E30E6C"/>
    <w:rsid w:val="00E628CE"/>
    <w:rsid w:val="00E76F7C"/>
    <w:rsid w:val="00E772D8"/>
    <w:rsid w:val="00E82583"/>
    <w:rsid w:val="00E92E39"/>
    <w:rsid w:val="00E94580"/>
    <w:rsid w:val="00E95D0E"/>
    <w:rsid w:val="00E97ACA"/>
    <w:rsid w:val="00EA7710"/>
    <w:rsid w:val="00EE123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0</TotalTime>
  <Pages>1</Pages>
  <Words>113</Words>
  <Characters>625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VIDAL Cecile (Interimaire)</cp:lastModifiedBy>
  <cp:revision>2</cp:revision>
  <cp:lastPrinted>2011-06-28T10:25:00Z</cp:lastPrinted>
  <dcterms:created xsi:type="dcterms:W3CDTF">2018-06-26T10:49:00Z</dcterms:created>
  <dcterms:modified xsi:type="dcterms:W3CDTF">2018-06-26T10:49:00Z</dcterms:modified>
  <cp:category>Interne</cp:category>
</cp:coreProperties>
</file>