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Default="00EA4200">
      <w:pPr>
        <w:rPr>
          <w:rFonts w:ascii="Calibri" w:hAnsi="Calibri" w:cs="Arial"/>
          <w:sz w:val="20"/>
          <w:szCs w:val="22"/>
        </w:rPr>
      </w:pPr>
    </w:p>
    <w:p w:rsidR="00EA4200" w:rsidRPr="00EA4200" w:rsidRDefault="00EA4200" w:rsidP="00F34072">
      <w:pPr>
        <w:pStyle w:val="AMFDoctrineRfrence"/>
        <w:rPr>
          <w:i/>
        </w:rPr>
      </w:pPr>
      <w:r w:rsidRPr="00EA4200">
        <w:t>SECTION 2.F – Dispositif de contrôle</w:t>
      </w:r>
    </w:p>
    <w:p w:rsidR="00EA4200" w:rsidRPr="00EA4200" w:rsidRDefault="00EA4200" w:rsidP="00EA4200">
      <w:pPr>
        <w:pStyle w:val="AMFDoctrineChapeau"/>
        <w:rPr>
          <w:i/>
        </w:rPr>
      </w:pPr>
    </w:p>
    <w:p w:rsidR="00EA4200" w:rsidRPr="00404A83" w:rsidRDefault="00EA4200" w:rsidP="00EA4200">
      <w:pPr>
        <w:pStyle w:val="AMFDoctrineChapeau"/>
        <w:rPr>
          <w:b/>
        </w:rPr>
      </w:pPr>
      <w:bookmarkStart w:id="0" w:name="_GoBack"/>
      <w:r w:rsidRPr="00404A83">
        <w:rPr>
          <w:b/>
          <w:iCs/>
        </w:rPr>
        <w:t xml:space="preserve">Ce document constitue l’annexe 2.F de l’instruction AMF DOC- </w:t>
      </w:r>
      <w:r w:rsidRPr="00404A83">
        <w:rPr>
          <w:b/>
        </w:rPr>
        <w:t>2008-03 - Procédures d’agrément des sociétés de gestion de portefeuille, obligati</w:t>
      </w:r>
      <w:r w:rsidR="00F34072" w:rsidRPr="00404A83">
        <w:rPr>
          <w:b/>
        </w:rPr>
        <w:t>ons d’information et passeport.</w:t>
      </w:r>
      <w:bookmarkEnd w:id="0"/>
    </w:p>
    <w:p w:rsidR="00EA4200" w:rsidRPr="00EA4200" w:rsidRDefault="00EA4200" w:rsidP="00EA4200">
      <w:pPr>
        <w:pStyle w:val="AMFDoctrineChapeau"/>
        <w:rPr>
          <w:b/>
        </w:rPr>
      </w:pPr>
    </w:p>
    <w:p w:rsidR="00EA4200" w:rsidRPr="00F34072" w:rsidRDefault="00F34072" w:rsidP="00F34072">
      <w:pPr>
        <w:numPr>
          <w:ilvl w:val="0"/>
          <w:numId w:val="36"/>
        </w:numPr>
        <w:rPr>
          <w:rFonts w:asciiTheme="minorHAnsi" w:hAnsiTheme="minorHAnsi"/>
        </w:rPr>
      </w:pPr>
      <w:r w:rsidRPr="00F34072">
        <w:rPr>
          <w:rFonts w:asciiTheme="minorHAnsi" w:hAnsiTheme="minorHAnsi"/>
        </w:rPr>
        <w:t>DISPOSITIF DE CONFORMITE ET CONTROLE INTERNE</w:t>
      </w:r>
    </w:p>
    <w:p w:rsidR="00EA4200" w:rsidRPr="00EA4200" w:rsidRDefault="00EA4200" w:rsidP="00EA4200">
      <w:pPr>
        <w:pStyle w:val="AMFDoctrineChapeau"/>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4"/>
        <w:gridCol w:w="1908"/>
        <w:gridCol w:w="2862"/>
      </w:tblGrid>
      <w:tr w:rsidR="00EA4200" w:rsidRPr="00EA4200" w:rsidTr="00EA4200">
        <w:trPr>
          <w:trHeight w:val="1317"/>
        </w:trPr>
        <w:tc>
          <w:tcPr>
            <w:tcW w:w="1207" w:type="pct"/>
            <w:shd w:val="clear" w:color="auto" w:fill="auto"/>
            <w:vAlign w:val="center"/>
          </w:tcPr>
          <w:p w:rsidR="00EA4200" w:rsidRPr="00EA4200" w:rsidRDefault="00EA4200" w:rsidP="00EA4200">
            <w:pPr>
              <w:pStyle w:val="AMFDoctrineChapeau"/>
            </w:pPr>
            <w:r w:rsidRPr="00EA4200">
              <w:t xml:space="preserve">Nom du </w:t>
            </w:r>
            <w:r w:rsidRPr="00EA4200">
              <w:rPr>
                <w:b/>
                <w:u w:val="single"/>
              </w:rPr>
              <w:t>RCCI</w:t>
            </w:r>
            <w:r w:rsidRPr="00EA4200">
              <w:t xml:space="preserve"> </w:t>
            </w:r>
          </w:p>
          <w:p w:rsidR="00EA4200" w:rsidRPr="00EA4200" w:rsidRDefault="00EA4200" w:rsidP="00EA4200">
            <w:pPr>
              <w:pStyle w:val="AMFDoctrineChapeau"/>
            </w:pPr>
          </w:p>
          <w:p w:rsidR="00EA4200" w:rsidRPr="00EA4200" w:rsidRDefault="00EA4200" w:rsidP="00EA4200">
            <w:pPr>
              <w:pStyle w:val="AMFDoctrineChapeau"/>
            </w:pPr>
          </w:p>
        </w:tc>
        <w:tc>
          <w:tcPr>
            <w:tcW w:w="1206" w:type="pct"/>
            <w:shd w:val="clear" w:color="auto" w:fill="auto"/>
            <w:vAlign w:val="center"/>
          </w:tcPr>
          <w:p w:rsidR="00EA4200" w:rsidRPr="00EA4200" w:rsidRDefault="00EA4200" w:rsidP="00EA4200">
            <w:pPr>
              <w:pStyle w:val="AMFDoctrineChapeau"/>
            </w:pPr>
            <w:r w:rsidRPr="00EA4200">
              <w:t>Principes de rattachement (distinguer le cas échéant hiérarchique et fonctionnel)</w:t>
            </w:r>
          </w:p>
        </w:tc>
        <w:tc>
          <w:tcPr>
            <w:tcW w:w="1035" w:type="pct"/>
            <w:shd w:val="clear" w:color="auto" w:fill="auto"/>
            <w:vAlign w:val="center"/>
          </w:tcPr>
          <w:p w:rsidR="00EA4200" w:rsidRPr="00EA4200" w:rsidRDefault="00EA4200" w:rsidP="00EA4200">
            <w:pPr>
              <w:pStyle w:val="AMFDoctrineChapeau"/>
            </w:pPr>
            <w:r w:rsidRPr="00EA4200">
              <w:t>Existence d’une externalisation : préciser le périmètre d’intervention et l’identité du prestataire</w:t>
            </w:r>
          </w:p>
        </w:tc>
        <w:tc>
          <w:tcPr>
            <w:tcW w:w="1552" w:type="pct"/>
            <w:shd w:val="clear" w:color="auto" w:fill="auto"/>
            <w:vAlign w:val="center"/>
          </w:tcPr>
          <w:p w:rsidR="00EA4200" w:rsidRPr="00EA4200" w:rsidRDefault="00EA4200" w:rsidP="00EA4200">
            <w:pPr>
              <w:pStyle w:val="AMFDoctrineChapeau"/>
            </w:pPr>
            <w:r w:rsidRPr="00EA4200">
              <w:t>Temps consacré à ses fonctions de contrôle et conformité. Le cas échéant, préciser la répartition du temps d’intervention du prestataire entre les contrôles, la formation, et la mise en place de procédures</w:t>
            </w:r>
          </w:p>
        </w:tc>
      </w:tr>
      <w:tr w:rsidR="00EA4200" w:rsidRPr="00EA4200" w:rsidTr="00EA4200">
        <w:trPr>
          <w:trHeight w:val="445"/>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035" w:type="pct"/>
            <w:shd w:val="clear" w:color="auto" w:fill="auto"/>
          </w:tcPr>
          <w:p w:rsidR="00EA4200" w:rsidRPr="00EA4200" w:rsidRDefault="00EA4200" w:rsidP="00EA4200">
            <w:pPr>
              <w:pStyle w:val="AMFDoctrineChapeau"/>
            </w:pPr>
          </w:p>
        </w:tc>
        <w:tc>
          <w:tcPr>
            <w:tcW w:w="1552" w:type="pct"/>
            <w:shd w:val="clear" w:color="auto" w:fill="auto"/>
          </w:tcPr>
          <w:p w:rsidR="00EA4200" w:rsidRPr="00EA4200" w:rsidRDefault="00EA4200" w:rsidP="00EA4200">
            <w:pPr>
              <w:pStyle w:val="AMFDoctrineChapeau"/>
            </w:pPr>
          </w:p>
        </w:tc>
      </w:tr>
      <w:tr w:rsidR="00EA4200" w:rsidRPr="00EA4200" w:rsidTr="00EA4200">
        <w:trPr>
          <w:trHeight w:val="409"/>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035" w:type="pct"/>
            <w:shd w:val="clear" w:color="auto" w:fill="auto"/>
          </w:tcPr>
          <w:p w:rsidR="00EA4200" w:rsidRPr="00EA4200" w:rsidRDefault="00EA4200" w:rsidP="00EA4200">
            <w:pPr>
              <w:pStyle w:val="AMFDoctrineChapeau"/>
            </w:pPr>
          </w:p>
        </w:tc>
        <w:tc>
          <w:tcPr>
            <w:tcW w:w="1552"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En cas d’externalisation du contrôle, il est nécessaire de justifier les raisons de l’externalisation, les critères de sélection, l’adéquation du temps alloué et les modalités de suivi du prestataire.</w:t>
      </w:r>
    </w:p>
    <w:p w:rsidR="00EA4200" w:rsidRPr="00EA4200" w:rsidRDefault="00EA4200" w:rsidP="00EA4200">
      <w:pPr>
        <w:pStyle w:val="AMFDoctrineChapeau"/>
      </w:pPr>
    </w:p>
    <w:p w:rsidR="00EA4200" w:rsidRPr="00EA4200" w:rsidRDefault="00EA4200" w:rsidP="00EA4200">
      <w:pPr>
        <w:pStyle w:val="AMFDoctrineChapeau"/>
      </w:pPr>
      <w:r w:rsidRPr="00EA4200">
        <w:t>Répartition des rôles et traçabilité :</w:t>
      </w:r>
    </w:p>
    <w:p w:rsidR="00EA4200" w:rsidRPr="00EA4200" w:rsidRDefault="00EA4200" w:rsidP="00EA4200">
      <w:pPr>
        <w:pStyle w:val="AMFDoctrineChapeau"/>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49"/>
        <w:gridCol w:w="4111"/>
      </w:tblGrid>
      <w:tr w:rsidR="00EA4200" w:rsidRPr="00EA4200" w:rsidTr="00F34072">
        <w:trPr>
          <w:trHeight w:val="983"/>
        </w:trPr>
        <w:tc>
          <w:tcPr>
            <w:tcW w:w="1384" w:type="pct"/>
            <w:shd w:val="clear" w:color="auto" w:fill="auto"/>
            <w:vAlign w:val="center"/>
          </w:tcPr>
          <w:p w:rsidR="00EA4200" w:rsidRPr="00EA4200" w:rsidRDefault="00EA4200" w:rsidP="00EA4200">
            <w:pPr>
              <w:pStyle w:val="AMFDoctrineChapeau"/>
            </w:pPr>
          </w:p>
        </w:tc>
        <w:tc>
          <w:tcPr>
            <w:tcW w:w="1384" w:type="pct"/>
            <w:shd w:val="clear" w:color="auto" w:fill="auto"/>
            <w:vAlign w:val="center"/>
          </w:tcPr>
          <w:p w:rsidR="00EA4200" w:rsidRPr="00EA4200" w:rsidRDefault="00EA4200" w:rsidP="00EA4200">
            <w:pPr>
              <w:pStyle w:val="AMFDoctrineChapeau"/>
            </w:pPr>
            <w:r w:rsidRPr="00EA4200">
              <w:t>Outils utilisés</w:t>
            </w:r>
          </w:p>
        </w:tc>
        <w:tc>
          <w:tcPr>
            <w:tcW w:w="2232" w:type="pct"/>
            <w:shd w:val="clear" w:color="auto" w:fill="auto"/>
            <w:vAlign w:val="center"/>
          </w:tcPr>
          <w:p w:rsidR="00EA4200" w:rsidRPr="00EA4200" w:rsidRDefault="00EA4200" w:rsidP="00EA4200">
            <w:pPr>
              <w:pStyle w:val="AMFDoctrineChapeau"/>
            </w:pPr>
            <w:r w:rsidRPr="00EA4200">
              <w:t>Modalités de traçabilité des contrôles et de synthèse des travaux réalisés</w:t>
            </w:r>
          </w:p>
        </w:tc>
      </w:tr>
      <w:tr w:rsidR="00EA4200" w:rsidRPr="00EA4200" w:rsidTr="00F34072">
        <w:tc>
          <w:tcPr>
            <w:tcW w:w="1384" w:type="pct"/>
            <w:shd w:val="clear" w:color="auto" w:fill="auto"/>
          </w:tcPr>
          <w:p w:rsidR="00EA4200" w:rsidRPr="00EA4200" w:rsidRDefault="00EA4200" w:rsidP="00EA4200">
            <w:pPr>
              <w:pStyle w:val="AMFDoctrineChapeau"/>
            </w:pPr>
            <w:r w:rsidRPr="00EA4200">
              <w:t>Contrôle de premier niveau</w:t>
            </w:r>
          </w:p>
        </w:tc>
        <w:tc>
          <w:tcPr>
            <w:tcW w:w="1384" w:type="pct"/>
            <w:shd w:val="clear" w:color="auto" w:fill="auto"/>
          </w:tcPr>
          <w:p w:rsidR="00EA4200" w:rsidRPr="00EA4200" w:rsidRDefault="00EA4200" w:rsidP="00EA4200">
            <w:pPr>
              <w:pStyle w:val="AMFDoctrineChapeau"/>
            </w:pPr>
          </w:p>
        </w:tc>
        <w:tc>
          <w:tcPr>
            <w:tcW w:w="2232" w:type="pct"/>
            <w:shd w:val="clear" w:color="auto" w:fill="auto"/>
          </w:tcPr>
          <w:p w:rsidR="00EA4200" w:rsidRPr="00EA4200" w:rsidRDefault="00EA4200" w:rsidP="00EA4200">
            <w:pPr>
              <w:pStyle w:val="AMFDoctrineChapeau"/>
            </w:pPr>
          </w:p>
        </w:tc>
      </w:tr>
      <w:tr w:rsidR="00EA4200" w:rsidRPr="00EA4200" w:rsidTr="00F34072">
        <w:tc>
          <w:tcPr>
            <w:tcW w:w="1384" w:type="pct"/>
            <w:shd w:val="clear" w:color="auto" w:fill="auto"/>
          </w:tcPr>
          <w:p w:rsidR="00EA4200" w:rsidRPr="00EA4200" w:rsidRDefault="00EA4200" w:rsidP="00EA4200">
            <w:pPr>
              <w:pStyle w:val="AMFDoctrineChapeau"/>
            </w:pPr>
            <w:r w:rsidRPr="00EA4200">
              <w:t>Contrôle de second niveau</w:t>
            </w:r>
          </w:p>
        </w:tc>
        <w:tc>
          <w:tcPr>
            <w:tcW w:w="1384" w:type="pct"/>
            <w:shd w:val="clear" w:color="auto" w:fill="auto"/>
          </w:tcPr>
          <w:p w:rsidR="00EA4200" w:rsidRPr="00EA4200" w:rsidRDefault="00EA4200" w:rsidP="00EA4200">
            <w:pPr>
              <w:pStyle w:val="AMFDoctrineChapeau"/>
            </w:pPr>
          </w:p>
        </w:tc>
        <w:tc>
          <w:tcPr>
            <w:tcW w:w="2232" w:type="pct"/>
            <w:shd w:val="clear" w:color="auto" w:fill="auto"/>
          </w:tcPr>
          <w:p w:rsidR="00EA4200" w:rsidRPr="00EA4200" w:rsidRDefault="00EA4200" w:rsidP="00EA4200">
            <w:pPr>
              <w:pStyle w:val="AMFDoctrineChapeau"/>
            </w:pPr>
          </w:p>
        </w:tc>
      </w:tr>
      <w:tr w:rsidR="00EA4200" w:rsidRPr="00EA4200" w:rsidTr="00F34072">
        <w:trPr>
          <w:trHeight w:val="573"/>
        </w:trPr>
        <w:tc>
          <w:tcPr>
            <w:tcW w:w="1384" w:type="pct"/>
            <w:shd w:val="clear" w:color="auto" w:fill="auto"/>
          </w:tcPr>
          <w:p w:rsidR="00EA4200" w:rsidRPr="00EA4200" w:rsidRDefault="00EA4200" w:rsidP="00EA4200">
            <w:pPr>
              <w:pStyle w:val="AMFDoctrineChapeau"/>
            </w:pPr>
            <w:r w:rsidRPr="00EA4200">
              <w:t>Contrôle périodique</w:t>
            </w:r>
          </w:p>
        </w:tc>
        <w:tc>
          <w:tcPr>
            <w:tcW w:w="1384" w:type="pct"/>
            <w:shd w:val="clear" w:color="auto" w:fill="auto"/>
          </w:tcPr>
          <w:p w:rsidR="00EA4200" w:rsidRPr="00EA4200" w:rsidRDefault="00EA4200" w:rsidP="00EA4200">
            <w:pPr>
              <w:pStyle w:val="AMFDoctrineChapeau"/>
            </w:pPr>
          </w:p>
        </w:tc>
        <w:tc>
          <w:tcPr>
            <w:tcW w:w="2232"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La présente section doit par ailleurs préciser l’organisation retenue pour établir et mettre à jour :</w:t>
      </w:r>
    </w:p>
    <w:p w:rsidR="00EA4200" w:rsidRPr="00EA4200" w:rsidRDefault="00EA4200" w:rsidP="004477C2">
      <w:pPr>
        <w:pStyle w:val="AMFDoctrineChapeau"/>
        <w:numPr>
          <w:ilvl w:val="0"/>
          <w:numId w:val="6"/>
        </w:numPr>
      </w:pPr>
      <w:r w:rsidRPr="00EA4200">
        <w:t>les procédures et le plan de contrôle annuel</w:t>
      </w:r>
      <w:r w:rsidRPr="00EA4200">
        <w:rPr>
          <w:vertAlign w:val="superscript"/>
        </w:rPr>
        <w:footnoteReference w:id="1"/>
      </w:r>
      <w:r w:rsidRPr="00EA4200">
        <w:t> ;</w:t>
      </w:r>
    </w:p>
    <w:p w:rsidR="00EA4200" w:rsidRPr="00EA4200" w:rsidRDefault="00EA4200" w:rsidP="004477C2">
      <w:pPr>
        <w:pStyle w:val="AMFDoctrineChapeau"/>
        <w:numPr>
          <w:ilvl w:val="0"/>
          <w:numId w:val="6"/>
        </w:numPr>
      </w:pPr>
      <w:proofErr w:type="gramStart"/>
      <w:r w:rsidRPr="00EA4200">
        <w:t>la</w:t>
      </w:r>
      <w:proofErr w:type="gramEnd"/>
      <w:r w:rsidRPr="00EA4200">
        <w:t xml:space="preserve"> cartographie des risques.</w:t>
      </w:r>
    </w:p>
    <w:p w:rsidR="00EA4200" w:rsidRPr="00EA4200" w:rsidRDefault="00EA4200" w:rsidP="00EA4200">
      <w:pPr>
        <w:pStyle w:val="AMFDoctrineChapeau"/>
      </w:pPr>
    </w:p>
    <w:p w:rsidR="00EA4200" w:rsidRPr="00EA4200" w:rsidRDefault="00EA4200" w:rsidP="00EA4200">
      <w:pPr>
        <w:pStyle w:val="AMFDoctrineChapeau"/>
      </w:pPr>
      <w:r w:rsidRPr="00EA4200">
        <w:t>Les différentes étapes doivent être synthétiquement présentées (rédaction, validation, traçabilité, etc.). La périodicité de mise en place, d’évaluation du dispositif et des procédures et leur mise à jour doivent être précisée.</w:t>
      </w:r>
    </w:p>
    <w:p w:rsidR="00EA4200" w:rsidRPr="00EA4200" w:rsidRDefault="00EA4200" w:rsidP="00EA4200">
      <w:pPr>
        <w:pStyle w:val="AMFDoctrineChapeau"/>
      </w:pPr>
    </w:p>
    <w:p w:rsidR="00EA4200" w:rsidRPr="00EA4200" w:rsidRDefault="00EA4200" w:rsidP="00EA4200">
      <w:pPr>
        <w:pStyle w:val="AMFDoctrineChapeau"/>
      </w:pPr>
      <w:r w:rsidRPr="00EA4200">
        <w:lastRenderedPageBreak/>
        <w:t>Il convient de préciser quelles seront les responsabilités et le rôle des personnes responsables ou intervenant dans le cadre du dispositif de contrôle permanent (conformité et contrôle interne) concernant :</w:t>
      </w:r>
    </w:p>
    <w:p w:rsidR="00EA4200" w:rsidRPr="00EA4200" w:rsidRDefault="00EA4200" w:rsidP="004477C2">
      <w:pPr>
        <w:pStyle w:val="AMFDoctrineChapeau"/>
        <w:numPr>
          <w:ilvl w:val="0"/>
          <w:numId w:val="6"/>
        </w:numPr>
      </w:pPr>
      <w:proofErr w:type="gramStart"/>
      <w:r w:rsidRPr="00EA4200">
        <w:t>la</w:t>
      </w:r>
      <w:proofErr w:type="gramEnd"/>
      <w:r w:rsidRPr="00EA4200">
        <w:t xml:space="preserve"> création de nouveaux produits ;</w:t>
      </w:r>
    </w:p>
    <w:p w:rsidR="00EA4200" w:rsidRPr="00EA4200" w:rsidRDefault="00EA4200" w:rsidP="004477C2">
      <w:pPr>
        <w:pStyle w:val="AMFDoctrineChapeau"/>
        <w:numPr>
          <w:ilvl w:val="0"/>
          <w:numId w:val="6"/>
        </w:numPr>
      </w:pPr>
      <w:proofErr w:type="gramStart"/>
      <w:r w:rsidRPr="00EA4200">
        <w:t>le</w:t>
      </w:r>
      <w:proofErr w:type="gramEnd"/>
      <w:r w:rsidRPr="00EA4200">
        <w:t xml:space="preserve"> développement de nouvelles activités ou services d’investissement ;</w:t>
      </w:r>
    </w:p>
    <w:p w:rsidR="00EA4200" w:rsidRPr="00EA4200" w:rsidRDefault="00EA4200" w:rsidP="004477C2">
      <w:pPr>
        <w:pStyle w:val="AMFDoctrineChapeau"/>
        <w:numPr>
          <w:ilvl w:val="0"/>
          <w:numId w:val="6"/>
        </w:numPr>
      </w:pPr>
      <w:proofErr w:type="gramStart"/>
      <w:r w:rsidRPr="00EA4200">
        <w:t>l’utilisation</w:t>
      </w:r>
      <w:proofErr w:type="gramEnd"/>
      <w:r w:rsidRPr="00EA4200">
        <w:t xml:space="preserve"> de nouveaux actifs ou instruments financiers ou la mise en œuvre de nouveaux types de stratégies d’investissement ;</w:t>
      </w:r>
    </w:p>
    <w:p w:rsidR="00EA4200" w:rsidRPr="00EA4200" w:rsidRDefault="00EA4200" w:rsidP="004477C2">
      <w:pPr>
        <w:pStyle w:val="AMFDoctrineChapeau"/>
        <w:numPr>
          <w:ilvl w:val="0"/>
          <w:numId w:val="6"/>
        </w:numPr>
      </w:pPr>
      <w:proofErr w:type="gramStart"/>
      <w:r w:rsidRPr="00EA4200">
        <w:t>le</w:t>
      </w:r>
      <w:proofErr w:type="gramEnd"/>
      <w:r w:rsidRPr="00EA4200">
        <w:t xml:space="preserve"> traitement des anomalies et les différents niveaux d’alerte;</w:t>
      </w:r>
    </w:p>
    <w:p w:rsidR="00EA4200" w:rsidRPr="00EA4200" w:rsidRDefault="00EA4200" w:rsidP="004477C2">
      <w:pPr>
        <w:pStyle w:val="AMFDoctrineChapeau"/>
        <w:numPr>
          <w:ilvl w:val="0"/>
          <w:numId w:val="6"/>
        </w:numPr>
      </w:pPr>
      <w:proofErr w:type="gramStart"/>
      <w:r w:rsidRPr="00EA4200">
        <w:t>les</w:t>
      </w:r>
      <w:proofErr w:type="gramEnd"/>
      <w:r w:rsidRPr="00EA4200">
        <w:t xml:space="preserve"> modalités de </w:t>
      </w:r>
      <w:proofErr w:type="spellStart"/>
      <w:r w:rsidRPr="00EA4200">
        <w:rPr>
          <w:i/>
        </w:rPr>
        <w:t>reporting</w:t>
      </w:r>
      <w:proofErr w:type="spellEnd"/>
      <w:r w:rsidRPr="00EA4200">
        <w:t xml:space="preserve"> au RCCI.</w:t>
      </w:r>
    </w:p>
    <w:p w:rsidR="00EA4200" w:rsidRPr="00EA4200" w:rsidRDefault="00EA4200" w:rsidP="00EA4200">
      <w:pPr>
        <w:pStyle w:val="AMFDoctrineChapeau"/>
      </w:pPr>
    </w:p>
    <w:p w:rsidR="00EA4200" w:rsidRPr="00EA4200" w:rsidRDefault="00EA4200" w:rsidP="00F34072">
      <w:pPr>
        <w:pStyle w:val="AMFDoctrineTitreNiveau1"/>
      </w:pPr>
      <w:r w:rsidRPr="00EA4200">
        <w:t>dispositif de Gestion des risques</w:t>
      </w:r>
    </w:p>
    <w:p w:rsidR="00EA4200" w:rsidRPr="00EA4200" w:rsidRDefault="00EA4200" w:rsidP="00EA4200">
      <w:pPr>
        <w:pStyle w:val="AMFDoctrineChapeau"/>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4"/>
        <w:gridCol w:w="2493"/>
        <w:gridCol w:w="2277"/>
      </w:tblGrid>
      <w:tr w:rsidR="00EA4200" w:rsidRPr="00EA4200" w:rsidTr="00F34072">
        <w:trPr>
          <w:trHeight w:val="1317"/>
        </w:trPr>
        <w:tc>
          <w:tcPr>
            <w:tcW w:w="1207" w:type="pct"/>
            <w:shd w:val="clear" w:color="auto" w:fill="auto"/>
            <w:vAlign w:val="center"/>
          </w:tcPr>
          <w:p w:rsidR="00EA4200" w:rsidRPr="00EA4200" w:rsidRDefault="00EA4200" w:rsidP="00EA4200">
            <w:pPr>
              <w:pStyle w:val="AMFDoctrineChapeau"/>
            </w:pPr>
            <w:r w:rsidRPr="00EA4200">
              <w:t xml:space="preserve">Nom du </w:t>
            </w:r>
            <w:r w:rsidRPr="00EA4200">
              <w:rPr>
                <w:b/>
                <w:u w:val="single"/>
              </w:rPr>
              <w:t>contrôleur des risques</w:t>
            </w:r>
            <w:r w:rsidRPr="00EA4200">
              <w:rPr>
                <w:b/>
                <w:u w:val="single"/>
                <w:vertAlign w:val="superscript"/>
              </w:rPr>
              <w:footnoteReference w:id="2"/>
            </w:r>
            <w:r w:rsidRPr="00EA4200">
              <w:t xml:space="preserve"> ou du responsable de la fonction de gestion des risques</w:t>
            </w:r>
            <w:r w:rsidRPr="00EA4200">
              <w:rPr>
                <w:vertAlign w:val="superscript"/>
              </w:rPr>
              <w:footnoteReference w:id="3"/>
            </w:r>
            <w:r w:rsidRPr="00EA4200">
              <w:t xml:space="preserve"> </w:t>
            </w:r>
          </w:p>
          <w:p w:rsidR="00EA4200" w:rsidRPr="00EA4200" w:rsidRDefault="00EA4200" w:rsidP="00EA4200">
            <w:pPr>
              <w:pStyle w:val="AMFDoctrineChapeau"/>
            </w:pPr>
          </w:p>
          <w:p w:rsidR="00EA4200" w:rsidRPr="00EA4200" w:rsidRDefault="00EA4200" w:rsidP="00EA4200">
            <w:pPr>
              <w:pStyle w:val="AMFDoctrineChapeau"/>
            </w:pPr>
          </w:p>
        </w:tc>
        <w:tc>
          <w:tcPr>
            <w:tcW w:w="1206" w:type="pct"/>
            <w:shd w:val="clear" w:color="auto" w:fill="auto"/>
            <w:vAlign w:val="center"/>
          </w:tcPr>
          <w:p w:rsidR="00EA4200" w:rsidRPr="00EA4200" w:rsidRDefault="00EA4200" w:rsidP="00EA4200">
            <w:pPr>
              <w:pStyle w:val="AMFDoctrineChapeau"/>
            </w:pPr>
            <w:r w:rsidRPr="00EA4200">
              <w:t>Principes de rattachement (distinguer le cas échéant hiérarchique et fonctionnel)</w:t>
            </w:r>
          </w:p>
        </w:tc>
        <w:tc>
          <w:tcPr>
            <w:tcW w:w="1352" w:type="pct"/>
            <w:shd w:val="clear" w:color="auto" w:fill="auto"/>
            <w:vAlign w:val="center"/>
          </w:tcPr>
          <w:p w:rsidR="00EA4200" w:rsidRPr="00EA4200" w:rsidRDefault="00EA4200" w:rsidP="00EA4200">
            <w:pPr>
              <w:pStyle w:val="AMFDoctrineChapeau"/>
            </w:pPr>
            <w:r w:rsidRPr="00EA4200">
              <w:t>Existence de délégation : préciser le périmètre d’intervention et l’identité du délégataire</w:t>
            </w:r>
          </w:p>
        </w:tc>
        <w:tc>
          <w:tcPr>
            <w:tcW w:w="1235" w:type="pct"/>
            <w:shd w:val="clear" w:color="auto" w:fill="auto"/>
            <w:vAlign w:val="center"/>
          </w:tcPr>
          <w:p w:rsidR="00EA4200" w:rsidRPr="00EA4200" w:rsidRDefault="00EA4200" w:rsidP="00EA4200">
            <w:pPr>
              <w:pStyle w:val="AMFDoctrineChapeau"/>
            </w:pPr>
            <w:r w:rsidRPr="00EA4200">
              <w:t>Temps consacré à la fonction de gestion des risques</w:t>
            </w:r>
          </w:p>
        </w:tc>
      </w:tr>
      <w:tr w:rsidR="00EA4200" w:rsidRPr="00EA4200" w:rsidTr="00F34072">
        <w:trPr>
          <w:trHeight w:val="445"/>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352" w:type="pct"/>
            <w:shd w:val="clear" w:color="auto" w:fill="auto"/>
          </w:tcPr>
          <w:p w:rsidR="00EA4200" w:rsidRPr="00EA4200" w:rsidRDefault="00EA4200" w:rsidP="00EA4200">
            <w:pPr>
              <w:pStyle w:val="AMFDoctrineChapeau"/>
            </w:pPr>
          </w:p>
        </w:tc>
        <w:tc>
          <w:tcPr>
            <w:tcW w:w="1235" w:type="pct"/>
            <w:shd w:val="clear" w:color="auto" w:fill="auto"/>
          </w:tcPr>
          <w:p w:rsidR="00EA4200" w:rsidRPr="00EA4200" w:rsidRDefault="00EA4200" w:rsidP="00EA4200">
            <w:pPr>
              <w:pStyle w:val="AMFDoctrineChapeau"/>
            </w:pPr>
          </w:p>
        </w:tc>
      </w:tr>
      <w:tr w:rsidR="00EA4200" w:rsidRPr="00EA4200" w:rsidTr="00F34072">
        <w:trPr>
          <w:trHeight w:val="409"/>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352" w:type="pct"/>
            <w:shd w:val="clear" w:color="auto" w:fill="auto"/>
          </w:tcPr>
          <w:p w:rsidR="00EA4200" w:rsidRPr="00EA4200" w:rsidRDefault="00EA4200" w:rsidP="00EA4200">
            <w:pPr>
              <w:pStyle w:val="AMFDoctrineChapeau"/>
            </w:pPr>
          </w:p>
        </w:tc>
        <w:tc>
          <w:tcPr>
            <w:tcW w:w="1235"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En cas de délégation de la gestion des risques, les justifications relatives à la délégation sont à fournir dans la section délégation du programme d’activité.</w:t>
      </w:r>
    </w:p>
    <w:p w:rsidR="00EA4200" w:rsidRPr="00EA4200" w:rsidRDefault="00EA4200" w:rsidP="00EA4200">
      <w:pPr>
        <w:pStyle w:val="AMFDoctrineChapeau"/>
      </w:pPr>
    </w:p>
    <w:p w:rsidR="00EA4200" w:rsidRPr="00EA4200" w:rsidRDefault="00EA4200" w:rsidP="00EA4200">
      <w:pPr>
        <w:pStyle w:val="AMFDoctrineChapeau"/>
      </w:pPr>
      <w:r w:rsidRPr="00EA4200">
        <w:t xml:space="preserve">Cette section présente la fonction de gestion des risques, les principaux indicateurs de suivi (y compris la méthode de calcul du risque global le cas échéant) et les différents intervenants. </w:t>
      </w:r>
    </w:p>
    <w:p w:rsidR="00EA4200" w:rsidRPr="00EA4200" w:rsidRDefault="00EA4200" w:rsidP="00EA4200">
      <w:pPr>
        <w:pStyle w:val="AMFDoctrineChapeau"/>
      </w:pPr>
    </w:p>
    <w:p w:rsidR="00EA4200" w:rsidRPr="00EA4200" w:rsidRDefault="00EA4200" w:rsidP="00EA4200">
      <w:pPr>
        <w:pStyle w:val="AMFDoctrineChapeau"/>
      </w:pPr>
      <w:r w:rsidRPr="00EA4200">
        <w:t xml:space="preserve">Si l’indépendance de la fonction de gestion des risques est requise, il est nécessaire de décrire le dispositif mis en œuvre pour garantir cette indépendance. </w:t>
      </w:r>
    </w:p>
    <w:p w:rsidR="00EA4200" w:rsidRPr="00EA4200" w:rsidRDefault="00EA4200" w:rsidP="00EA4200">
      <w:pPr>
        <w:pStyle w:val="AMFDoctrineChapeau"/>
      </w:pPr>
    </w:p>
    <w:p w:rsidR="00EA4200" w:rsidRPr="00EA4200" w:rsidRDefault="00EA4200" w:rsidP="00EA4200">
      <w:pPr>
        <w:pStyle w:val="AMFDoctrineChapeau"/>
      </w:pPr>
      <w:r w:rsidRPr="00EA4200">
        <w:t>Il convient de remplir le tableau suivant :</w:t>
      </w:r>
    </w:p>
    <w:p w:rsidR="00EA4200" w:rsidRPr="00EA4200" w:rsidRDefault="00EA4200" w:rsidP="00EA4200">
      <w:pPr>
        <w:pStyle w:val="AMFDoctrineChapeau"/>
      </w:pPr>
    </w:p>
    <w:tbl>
      <w:tblPr>
        <w:tblW w:w="4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733"/>
      </w:tblGrid>
      <w:tr w:rsidR="00EA4200" w:rsidRPr="00EA4200" w:rsidTr="00F34072">
        <w:tc>
          <w:tcPr>
            <w:tcW w:w="2530" w:type="pct"/>
            <w:shd w:val="clear" w:color="auto" w:fill="auto"/>
          </w:tcPr>
          <w:p w:rsidR="00EA4200" w:rsidRPr="00EA4200" w:rsidRDefault="00EA4200" w:rsidP="00EA4200">
            <w:pPr>
              <w:pStyle w:val="AMFDoctrineChapeau"/>
            </w:pPr>
            <w:r w:rsidRPr="00EA4200">
              <w:t>Dispositif de gestion des risques</w:t>
            </w:r>
          </w:p>
        </w:tc>
        <w:tc>
          <w:tcPr>
            <w:tcW w:w="2470" w:type="pct"/>
            <w:shd w:val="clear" w:color="auto" w:fill="auto"/>
          </w:tcPr>
          <w:p w:rsidR="00EA4200" w:rsidRPr="00EA4200" w:rsidRDefault="00EA4200" w:rsidP="00EA4200">
            <w:pPr>
              <w:pStyle w:val="AMFDoctrineChapeau"/>
            </w:pPr>
            <w:r w:rsidRPr="00EA4200">
              <w:t>Répartition des missions entre les différents intervenants</w:t>
            </w:r>
          </w:p>
        </w:tc>
      </w:tr>
      <w:tr w:rsidR="00EA4200" w:rsidRPr="00EA4200" w:rsidTr="00F34072">
        <w:trPr>
          <w:trHeight w:val="613"/>
        </w:trPr>
        <w:tc>
          <w:tcPr>
            <w:tcW w:w="2530" w:type="pct"/>
            <w:tcBorders>
              <w:bottom w:val="single" w:sz="4" w:space="0" w:color="auto"/>
            </w:tcBorders>
            <w:shd w:val="clear" w:color="auto" w:fill="auto"/>
            <w:vAlign w:val="center"/>
          </w:tcPr>
          <w:p w:rsidR="00EA4200" w:rsidRPr="00EA4200" w:rsidRDefault="00EA4200" w:rsidP="00EA4200">
            <w:pPr>
              <w:pStyle w:val="AMFDoctrineChapeau"/>
            </w:pPr>
            <w:r w:rsidRPr="00EA4200">
              <w:t xml:space="preserve">Fixation et validation des </w:t>
            </w:r>
            <w:r w:rsidRPr="00EA4200">
              <w:rPr>
                <w:b/>
              </w:rPr>
              <w:t>budgets de risque</w:t>
            </w:r>
            <w:r w:rsidRPr="00EA4200">
              <w:t> </w:t>
            </w:r>
          </w:p>
        </w:tc>
        <w:tc>
          <w:tcPr>
            <w:tcW w:w="2470" w:type="pct"/>
            <w:tcBorders>
              <w:bottom w:val="single" w:sz="4" w:space="0" w:color="auto"/>
            </w:tcBorders>
            <w:shd w:val="clear" w:color="auto" w:fill="auto"/>
          </w:tcPr>
          <w:p w:rsidR="00EA4200" w:rsidRPr="00EA4200" w:rsidRDefault="00EA4200" w:rsidP="00EA4200">
            <w:pPr>
              <w:pStyle w:val="AMFDoctrineChapeau"/>
            </w:pPr>
          </w:p>
        </w:tc>
      </w:tr>
      <w:tr w:rsidR="00EA4200" w:rsidRPr="00EA4200" w:rsidTr="00F34072">
        <w:tc>
          <w:tcPr>
            <w:tcW w:w="2530" w:type="pct"/>
            <w:tcBorders>
              <w:bottom w:val="dotted" w:sz="4" w:space="0" w:color="auto"/>
            </w:tcBorders>
            <w:shd w:val="clear" w:color="auto" w:fill="auto"/>
            <w:vAlign w:val="center"/>
          </w:tcPr>
          <w:p w:rsidR="00EA4200" w:rsidRPr="00EA4200" w:rsidRDefault="00EA4200" w:rsidP="00EA4200">
            <w:pPr>
              <w:pStyle w:val="AMFDoctrineChapeau"/>
            </w:pPr>
            <w:r w:rsidRPr="00EA4200">
              <w:t>Définition et validation, pour chacune des stratégies et/ou des véhicules gérés :</w:t>
            </w:r>
          </w:p>
        </w:tc>
        <w:tc>
          <w:tcPr>
            <w:tcW w:w="2470" w:type="pct"/>
            <w:tcBorders>
              <w:bottom w:val="dotted" w:sz="4" w:space="0" w:color="auto"/>
            </w:tcBorders>
            <w:shd w:val="clear" w:color="auto" w:fill="auto"/>
          </w:tcPr>
          <w:p w:rsidR="00EA4200" w:rsidRPr="00EA4200" w:rsidRDefault="00EA4200" w:rsidP="00EA4200">
            <w:pPr>
              <w:pStyle w:val="AMFDoctrineChapeau"/>
            </w:pPr>
          </w:p>
        </w:tc>
      </w:tr>
      <w:tr w:rsidR="00EA4200" w:rsidRPr="00EA4200" w:rsidTr="00F34072">
        <w:trPr>
          <w:trHeight w:val="589"/>
        </w:trPr>
        <w:tc>
          <w:tcPr>
            <w:tcW w:w="2530" w:type="pct"/>
            <w:tcBorders>
              <w:top w:val="dotted" w:sz="4" w:space="0" w:color="auto"/>
              <w:bottom w:val="dotted" w:sz="2" w:space="0" w:color="auto"/>
            </w:tcBorders>
            <w:shd w:val="clear" w:color="auto" w:fill="auto"/>
            <w:vAlign w:val="center"/>
          </w:tcPr>
          <w:p w:rsidR="00EA4200" w:rsidRPr="00EA4200" w:rsidRDefault="00EA4200" w:rsidP="004477C2">
            <w:pPr>
              <w:pStyle w:val="AMFDoctrineChapeau"/>
              <w:numPr>
                <w:ilvl w:val="0"/>
                <w:numId w:val="6"/>
              </w:numPr>
              <w:rPr>
                <w:b/>
                <w:u w:val="single"/>
              </w:rPr>
            </w:pPr>
            <w:r w:rsidRPr="00EA4200">
              <w:t xml:space="preserve">des </w:t>
            </w:r>
            <w:r w:rsidRPr="00EA4200">
              <w:rPr>
                <w:b/>
              </w:rPr>
              <w:t>indicateurs de risque</w:t>
            </w:r>
          </w:p>
        </w:tc>
        <w:tc>
          <w:tcPr>
            <w:tcW w:w="2470" w:type="pct"/>
            <w:tcBorders>
              <w:top w:val="dotted" w:sz="4" w:space="0" w:color="auto"/>
              <w:bottom w:val="dotted" w:sz="2" w:space="0" w:color="auto"/>
            </w:tcBorders>
            <w:shd w:val="clear" w:color="auto" w:fill="auto"/>
          </w:tcPr>
          <w:p w:rsidR="00EA4200" w:rsidRPr="00EA4200" w:rsidRDefault="00EA4200" w:rsidP="00EA4200">
            <w:pPr>
              <w:pStyle w:val="AMFDoctrineChapeau"/>
            </w:pPr>
          </w:p>
        </w:tc>
      </w:tr>
      <w:tr w:rsidR="00EA4200" w:rsidRPr="00EA4200" w:rsidTr="00F34072">
        <w:trPr>
          <w:trHeight w:val="715"/>
        </w:trPr>
        <w:tc>
          <w:tcPr>
            <w:tcW w:w="2530" w:type="pct"/>
            <w:tcBorders>
              <w:top w:val="dotted" w:sz="2" w:space="0" w:color="auto"/>
            </w:tcBorders>
            <w:shd w:val="clear" w:color="auto" w:fill="auto"/>
            <w:vAlign w:val="center"/>
          </w:tcPr>
          <w:p w:rsidR="00EA4200" w:rsidRPr="00EA4200" w:rsidRDefault="00EA4200" w:rsidP="004477C2">
            <w:pPr>
              <w:pStyle w:val="AMFDoctrineChapeau"/>
              <w:numPr>
                <w:ilvl w:val="0"/>
                <w:numId w:val="6"/>
              </w:numPr>
              <w:rPr>
                <w:b/>
                <w:u w:val="single"/>
              </w:rPr>
            </w:pPr>
            <w:r w:rsidRPr="00EA4200">
              <w:t xml:space="preserve">de la </w:t>
            </w:r>
            <w:r w:rsidRPr="00EA4200">
              <w:rPr>
                <w:b/>
              </w:rPr>
              <w:t>méthode de calcul du risque global</w:t>
            </w:r>
          </w:p>
        </w:tc>
        <w:tc>
          <w:tcPr>
            <w:tcW w:w="2470" w:type="pct"/>
            <w:tcBorders>
              <w:top w:val="dotted" w:sz="2" w:space="0" w:color="auto"/>
            </w:tcBorders>
            <w:shd w:val="clear" w:color="auto" w:fill="auto"/>
          </w:tcPr>
          <w:p w:rsidR="00EA4200" w:rsidRPr="00EA4200" w:rsidRDefault="00EA4200" w:rsidP="00EA4200">
            <w:pPr>
              <w:pStyle w:val="AMFDoctrineChapeau"/>
            </w:pPr>
          </w:p>
        </w:tc>
      </w:tr>
      <w:tr w:rsidR="00EA4200" w:rsidRPr="00EA4200" w:rsidTr="00F34072">
        <w:trPr>
          <w:trHeight w:val="1153"/>
        </w:trPr>
        <w:tc>
          <w:tcPr>
            <w:tcW w:w="2530" w:type="pct"/>
            <w:shd w:val="clear" w:color="auto" w:fill="auto"/>
            <w:vAlign w:val="center"/>
          </w:tcPr>
          <w:p w:rsidR="00EA4200" w:rsidRPr="00EA4200" w:rsidRDefault="00EA4200" w:rsidP="00EA4200">
            <w:pPr>
              <w:pStyle w:val="AMFDoctrineChapeau"/>
            </w:pPr>
            <w:r w:rsidRPr="00EA4200">
              <w:lastRenderedPageBreak/>
              <w:t xml:space="preserve">Définition et validation des outils, modèles et paramètres utilisés pour la </w:t>
            </w:r>
            <w:r w:rsidRPr="00EA4200">
              <w:rPr>
                <w:b/>
              </w:rPr>
              <w:t>valorisation des instruments utilisés</w:t>
            </w:r>
          </w:p>
        </w:tc>
        <w:tc>
          <w:tcPr>
            <w:tcW w:w="2470" w:type="pct"/>
            <w:shd w:val="clear" w:color="auto" w:fill="auto"/>
          </w:tcPr>
          <w:p w:rsidR="00EA4200" w:rsidRPr="00EA4200" w:rsidRDefault="00EA4200" w:rsidP="00EA4200">
            <w:pPr>
              <w:pStyle w:val="AMFDoctrineChapeau"/>
            </w:pPr>
          </w:p>
        </w:tc>
      </w:tr>
      <w:tr w:rsidR="00EA4200" w:rsidRPr="00EA4200" w:rsidTr="00F34072">
        <w:trPr>
          <w:trHeight w:val="711"/>
        </w:trPr>
        <w:tc>
          <w:tcPr>
            <w:tcW w:w="2530" w:type="pct"/>
            <w:shd w:val="clear" w:color="auto" w:fill="auto"/>
            <w:vAlign w:val="center"/>
          </w:tcPr>
          <w:p w:rsidR="00EA4200" w:rsidRPr="00EA4200" w:rsidRDefault="00EA4200" w:rsidP="00EA4200">
            <w:pPr>
              <w:pStyle w:val="AMFDoctrineChapeau"/>
            </w:pPr>
            <w:r w:rsidRPr="00EA4200">
              <w:t xml:space="preserve">Définition et validation des </w:t>
            </w:r>
            <w:r w:rsidRPr="00EA4200">
              <w:rPr>
                <w:b/>
              </w:rPr>
              <w:t>modèles de gestion quantitative</w:t>
            </w:r>
            <w:r w:rsidRPr="00EA4200">
              <w:t> </w:t>
            </w:r>
          </w:p>
        </w:tc>
        <w:tc>
          <w:tcPr>
            <w:tcW w:w="2470" w:type="pct"/>
            <w:shd w:val="clear" w:color="auto" w:fill="auto"/>
          </w:tcPr>
          <w:p w:rsidR="00EA4200" w:rsidRPr="00EA4200" w:rsidRDefault="00EA4200" w:rsidP="00EA4200">
            <w:pPr>
              <w:pStyle w:val="AMFDoctrineChapeau"/>
            </w:pPr>
          </w:p>
        </w:tc>
      </w:tr>
      <w:tr w:rsidR="00EA4200" w:rsidRPr="00EA4200" w:rsidTr="00F34072">
        <w:trPr>
          <w:trHeight w:val="524"/>
        </w:trPr>
        <w:tc>
          <w:tcPr>
            <w:tcW w:w="2530" w:type="pct"/>
            <w:shd w:val="clear" w:color="auto" w:fill="auto"/>
            <w:vAlign w:val="center"/>
          </w:tcPr>
          <w:p w:rsidR="00EA4200" w:rsidRPr="00EA4200" w:rsidRDefault="00EA4200" w:rsidP="00EA4200">
            <w:pPr>
              <w:pStyle w:val="AMFDoctrineChapeau"/>
            </w:pPr>
            <w:r w:rsidRPr="00EA4200">
              <w:t>Autres (préciser)</w:t>
            </w:r>
          </w:p>
        </w:tc>
        <w:tc>
          <w:tcPr>
            <w:tcW w:w="2470"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S’agissant de la gestion de la liquidité (et en sus des obligations spécifiques pour les sociétés de gestion de portefeuille agréées au titre de la directive AIFM), le programme d’activité doit décrire succinctement la politique de gestion de la liquidité de la société de gestion de portefeuille et les outils à sa disposition pour la suivre.</w:t>
      </w:r>
    </w:p>
    <w:p w:rsidR="00EA4200" w:rsidRPr="00EA4200" w:rsidRDefault="00EA4200" w:rsidP="00EA4200">
      <w:pPr>
        <w:pStyle w:val="AMFDoctrineChapeau"/>
      </w:pPr>
    </w:p>
    <w:p w:rsidR="00EA4200" w:rsidRPr="00EA4200" w:rsidRDefault="00EA4200" w:rsidP="00EA4200">
      <w:pPr>
        <w:pStyle w:val="AMFDoctrineChapeau"/>
      </w:pPr>
      <w:r w:rsidRPr="00EA4200">
        <w:t>Comme pour les personnes responsables ou intervenants dans le cadre du dispositif de contrôle permanent (conformité et contrôle interne), il conviendra de préciser le rôle et les responsabilités du contrôleur des risques concernant :</w:t>
      </w:r>
    </w:p>
    <w:p w:rsidR="00EA4200" w:rsidRPr="00EA4200" w:rsidRDefault="00EA4200" w:rsidP="004477C2">
      <w:pPr>
        <w:pStyle w:val="AMFDoctrineChapeau"/>
        <w:numPr>
          <w:ilvl w:val="0"/>
          <w:numId w:val="6"/>
        </w:numPr>
      </w:pPr>
      <w:proofErr w:type="gramStart"/>
      <w:r w:rsidRPr="00EA4200">
        <w:t>la</w:t>
      </w:r>
      <w:proofErr w:type="gramEnd"/>
      <w:r w:rsidRPr="00EA4200">
        <w:t xml:space="preserve"> création de nouveaux produits ;</w:t>
      </w:r>
    </w:p>
    <w:p w:rsidR="00EA4200" w:rsidRPr="00EA4200" w:rsidRDefault="00EA4200" w:rsidP="004477C2">
      <w:pPr>
        <w:pStyle w:val="AMFDoctrineChapeau"/>
        <w:numPr>
          <w:ilvl w:val="0"/>
          <w:numId w:val="6"/>
        </w:numPr>
      </w:pPr>
      <w:proofErr w:type="gramStart"/>
      <w:r w:rsidRPr="00EA4200">
        <w:t>le</w:t>
      </w:r>
      <w:proofErr w:type="gramEnd"/>
      <w:r w:rsidRPr="00EA4200">
        <w:t xml:space="preserve"> développement de nouvelles activités ou services d’investissement ;</w:t>
      </w:r>
    </w:p>
    <w:p w:rsidR="00EA4200" w:rsidRPr="00EA4200" w:rsidRDefault="00EA4200" w:rsidP="00EA4200">
      <w:pPr>
        <w:pStyle w:val="AMFDoctrineChapeau"/>
        <w:numPr>
          <w:ilvl w:val="0"/>
          <w:numId w:val="6"/>
        </w:numPr>
      </w:pPr>
      <w:proofErr w:type="gramStart"/>
      <w:r w:rsidRPr="00EA4200">
        <w:t>l’utilisation</w:t>
      </w:r>
      <w:proofErr w:type="gramEnd"/>
      <w:r w:rsidRPr="00EA4200">
        <w:t xml:space="preserve"> de nouveaux actifs ou instruments financiers ou la mise en œuvre de nouveaux types de stratégies d’investissement (y compris leur valorisation).</w:t>
      </w:r>
    </w:p>
    <w:p w:rsidR="00EA4200" w:rsidRPr="00EA4200" w:rsidRDefault="00EA4200" w:rsidP="00EA4200">
      <w:pPr>
        <w:pStyle w:val="AMFDoctrineChapeau"/>
      </w:pPr>
    </w:p>
    <w:p w:rsidR="00EA4200" w:rsidRPr="00EA4200" w:rsidRDefault="00EA4200" w:rsidP="00EA4200">
      <w:pPr>
        <w:pStyle w:val="AMFDoctrineTitreNiveau1"/>
      </w:pPr>
      <w:r w:rsidRPr="00EA4200">
        <w:t>GESTION DE LA LIQUIDITE POUR LES FIA DE TYPE OUVERT POUR LES SOCIETES DE GESTION SOUMISES INTEGRALEMENT A LA DIRECTIVE AIFM</w:t>
      </w:r>
    </w:p>
    <w:p w:rsidR="00EA4200" w:rsidRPr="00EA4200" w:rsidRDefault="00EA4200" w:rsidP="00EA4200">
      <w:pPr>
        <w:pStyle w:val="AMFDoctrineChapeau"/>
      </w:pPr>
      <w:r w:rsidRPr="00EA4200">
        <w:t>Indiquer comment la société entend suivre le risque de liquidité par FIA pour assurer un niveau approprié de liquidité à chaque FIA compte tenu notamment des stratégies d’investissement et politiques de remboursement.</w:t>
      </w:r>
    </w:p>
    <w:p w:rsidR="00EA4200" w:rsidRPr="00EA4200" w:rsidRDefault="00EA4200" w:rsidP="00EA4200">
      <w:pPr>
        <w:pStyle w:val="AMFDoctrineChapeau"/>
      </w:pPr>
    </w:p>
    <w:p w:rsidR="00EA4200" w:rsidRPr="00EA4200" w:rsidRDefault="00EA4200" w:rsidP="00EA4200">
      <w:pPr>
        <w:pStyle w:val="AMFDoctrineChapeau"/>
      </w:pPr>
      <w:r w:rsidRPr="00EA4200">
        <w:t>Décrire la politique de gestion de la liquidité, celle-ci devant comporter :</w:t>
      </w:r>
    </w:p>
    <w:p w:rsidR="00EA4200" w:rsidRPr="00EA4200" w:rsidRDefault="00EA4200" w:rsidP="004477C2">
      <w:pPr>
        <w:pStyle w:val="AMFDoctrineChapeau"/>
        <w:numPr>
          <w:ilvl w:val="0"/>
          <w:numId w:val="14"/>
        </w:numPr>
      </w:pPr>
      <w:proofErr w:type="gramStart"/>
      <w:r w:rsidRPr="00EA4200">
        <w:t>un</w:t>
      </w:r>
      <w:proofErr w:type="gramEnd"/>
      <w:r w:rsidRPr="00EA4200">
        <w:t xml:space="preserve"> engagement de réaliser des stress tests réguliers dans des conditions normales ou exceptionnelles de liquidité et, </w:t>
      </w:r>
    </w:p>
    <w:p w:rsidR="00EA4200" w:rsidRPr="00EA4200" w:rsidRDefault="00EA4200" w:rsidP="004477C2">
      <w:pPr>
        <w:pStyle w:val="AMFDoctrineChapeau"/>
        <w:numPr>
          <w:ilvl w:val="0"/>
          <w:numId w:val="14"/>
        </w:numPr>
      </w:pPr>
      <w:proofErr w:type="gramStart"/>
      <w:r w:rsidRPr="00EA4200">
        <w:t>la</w:t>
      </w:r>
      <w:proofErr w:type="gramEnd"/>
      <w:r w:rsidRPr="00EA4200">
        <w:t xml:space="preserve"> mise en place d’outils de gestion de la liquidité permettant un traitement équitable des investisseurs (préavis, </w:t>
      </w:r>
      <w:proofErr w:type="spellStart"/>
      <w:r w:rsidRPr="00EA4200">
        <w:rPr>
          <w:i/>
        </w:rPr>
        <w:t>gates</w:t>
      </w:r>
      <w:proofErr w:type="spellEnd"/>
      <w:r w:rsidRPr="00EA4200">
        <w:t xml:space="preserve">, </w:t>
      </w:r>
      <w:r w:rsidRPr="00EA4200">
        <w:rPr>
          <w:i/>
        </w:rPr>
        <w:t xml:space="preserve">lock </w:t>
      </w:r>
      <w:proofErr w:type="spellStart"/>
      <w:r w:rsidRPr="00EA4200">
        <w:rPr>
          <w:i/>
        </w:rPr>
        <w:t>ups</w:t>
      </w:r>
      <w:proofErr w:type="spellEnd"/>
      <w:r w:rsidRPr="00EA4200">
        <w:t xml:space="preserve">…) en cas de sélection d’actifs </w:t>
      </w:r>
      <w:proofErr w:type="spellStart"/>
      <w:r w:rsidRPr="00EA4200">
        <w:t>illiquides</w:t>
      </w:r>
      <w:proofErr w:type="spellEnd"/>
      <w:r w:rsidRPr="00EA4200">
        <w:t>.</w:t>
      </w:r>
    </w:p>
    <w:p w:rsidR="00EA4200" w:rsidRPr="00EA4200" w:rsidRDefault="00EA4200" w:rsidP="00EA4200">
      <w:pPr>
        <w:pStyle w:val="AMFDoctrineChapeau"/>
      </w:pPr>
    </w:p>
    <w:p w:rsidR="00EA4200" w:rsidRPr="00EA4200" w:rsidRDefault="00EA4200" w:rsidP="00EA4200">
      <w:pPr>
        <w:pStyle w:val="AMFDoctrineChapeau"/>
      </w:pPr>
      <w:r w:rsidRPr="00EA4200">
        <w:t xml:space="preserve">Il est rappelé que la fréquence des </w:t>
      </w:r>
      <w:r w:rsidRPr="00EA4200">
        <w:rPr>
          <w:i/>
        </w:rPr>
        <w:t>stress tests</w:t>
      </w:r>
      <w:r w:rsidRPr="00EA4200">
        <w:t xml:space="preserve"> doit être adaptée à la nature de chaque FIA en tenant compte notamment de la stratégie d’investissement, du profil de liquidité, du type d’investisseurs, de </w:t>
      </w:r>
      <w:r w:rsidR="00F34072">
        <w:t>la politique de remboursement).</w:t>
      </w:r>
    </w:p>
    <w:p w:rsidR="00EA4200" w:rsidRPr="00EA4200" w:rsidRDefault="00EA4200" w:rsidP="00EA4200">
      <w:pPr>
        <w:pStyle w:val="AMFDoctrineChapeau"/>
      </w:pPr>
    </w:p>
    <w:p w:rsidR="00EA4200" w:rsidRPr="00EA4200" w:rsidRDefault="00EA4200" w:rsidP="00EA4200">
      <w:pPr>
        <w:pStyle w:val="AMFDoctrineTitreNiveau1"/>
      </w:pPr>
      <w:r w:rsidRPr="00EA4200">
        <w:t>INVESTISSEMENT DANS DES POSTIONS DE TITRISATION POUR LES SOCIETES DE GESTION SOUMISES INTEGRALEMENT A LA DIRECTIVE AIFM</w:t>
      </w:r>
    </w:p>
    <w:p w:rsidR="00EA4200" w:rsidRPr="00EA4200" w:rsidRDefault="00EA4200" w:rsidP="00EA4200">
      <w:pPr>
        <w:pStyle w:val="AMFDoctrineChapeau"/>
      </w:pPr>
      <w:r w:rsidRPr="00EA4200">
        <w:t>Indiquer l’existence d’investissements dans des positions de titrisation.</w:t>
      </w:r>
    </w:p>
    <w:p w:rsidR="00EA4200" w:rsidRPr="00EA4200" w:rsidRDefault="00EA4200" w:rsidP="00EA4200">
      <w:pPr>
        <w:pStyle w:val="AMFDoctrineChapeau"/>
      </w:pPr>
      <w:r w:rsidRPr="00EA4200">
        <w:t xml:space="preserve"> </w:t>
      </w:r>
    </w:p>
    <w:p w:rsidR="00EA4200" w:rsidRPr="00EA4200" w:rsidRDefault="00EA4200" w:rsidP="00EA4200">
      <w:pPr>
        <w:pStyle w:val="AMFDoctrineChapeau"/>
      </w:pPr>
      <w:r w:rsidRPr="00EA4200">
        <w:t xml:space="preserve">En cas d’exposition importante des FIA dans des positions de titrisation : </w:t>
      </w:r>
    </w:p>
    <w:p w:rsidR="00EA4200" w:rsidRPr="00EA4200" w:rsidRDefault="00EA4200" w:rsidP="004477C2">
      <w:pPr>
        <w:pStyle w:val="AMFDoctrineChapeau"/>
        <w:numPr>
          <w:ilvl w:val="0"/>
          <w:numId w:val="24"/>
        </w:numPr>
      </w:pPr>
      <w:proofErr w:type="gramStart"/>
      <w:r w:rsidRPr="00EA4200">
        <w:t>fournir</w:t>
      </w:r>
      <w:proofErr w:type="gramEnd"/>
      <w:r w:rsidRPr="00EA4200">
        <w:t xml:space="preserve"> des informations sur la prise en compte de l’obligation du préteur initial ou du sponsor du fonds de garder un intérêt économique dans l’opération à hauteur de 5 %.</w:t>
      </w:r>
    </w:p>
    <w:p w:rsidR="00EA4200" w:rsidRPr="00EA4200" w:rsidRDefault="00EA4200" w:rsidP="004477C2">
      <w:pPr>
        <w:pStyle w:val="AMFDoctrineChapeau"/>
        <w:numPr>
          <w:ilvl w:val="0"/>
          <w:numId w:val="24"/>
        </w:numPr>
      </w:pPr>
      <w:proofErr w:type="gramStart"/>
      <w:r w:rsidRPr="00EA4200">
        <w:t>présenter</w:t>
      </w:r>
      <w:proofErr w:type="gramEnd"/>
      <w:r w:rsidRPr="00EA4200">
        <w:t xml:space="preserve"> les moyens à disposition de la société en matière d’expertise crédit et de réalisation des stress tests réguliers sur les positions de crédit.</w:t>
      </w:r>
    </w:p>
    <w:p w:rsidR="00EA4200" w:rsidRPr="00EA4200" w:rsidRDefault="00EA4200" w:rsidP="00EA4200">
      <w:pPr>
        <w:pStyle w:val="AMFDoctrineChapeau"/>
        <w:rPr>
          <w:i/>
        </w:rPr>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88" w:rsidRDefault="00B34C88">
      <w:r>
        <w:separator/>
      </w:r>
    </w:p>
    <w:p w:rsidR="00B34C88" w:rsidRDefault="00B34C88"/>
  </w:endnote>
  <w:endnote w:type="continuationSeparator" w:id="0">
    <w:p w:rsidR="00B34C88" w:rsidRDefault="00B34C88">
      <w:r>
        <w:continuationSeparator/>
      </w:r>
    </w:p>
    <w:p w:rsidR="00B34C88" w:rsidRDefault="00B34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04A83">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04A83">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04A83">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04A83">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88" w:rsidRDefault="00B34C88">
      <w:r>
        <w:separator/>
      </w:r>
    </w:p>
    <w:p w:rsidR="00B34C88" w:rsidRDefault="00B34C88"/>
  </w:footnote>
  <w:footnote w:type="continuationSeparator" w:id="0">
    <w:p w:rsidR="00B34C88" w:rsidRDefault="00B34C88">
      <w:r>
        <w:continuationSeparator/>
      </w:r>
    </w:p>
    <w:p w:rsidR="00B34C88" w:rsidRDefault="00B34C88"/>
  </w:footnote>
  <w:footnote w:id="1">
    <w:p w:rsidR="00EA4200" w:rsidRPr="009A7A90" w:rsidRDefault="00EA4200" w:rsidP="00F34072">
      <w:pPr>
        <w:pStyle w:val="AMFNotedebasdepage"/>
      </w:pPr>
      <w:r w:rsidRPr="00763885">
        <w:rPr>
          <w:rStyle w:val="Appelnotedebasdep"/>
        </w:rPr>
        <w:footnoteRef/>
      </w:r>
      <w:r w:rsidRPr="00763885">
        <w:t xml:space="preserve"> Les documents en eux-même</w:t>
      </w:r>
      <w:r w:rsidRPr="009A7A90">
        <w:t>s sont uniquement tenus à la disposition de l’AMF.</w:t>
      </w:r>
    </w:p>
  </w:footnote>
  <w:footnote w:id="2">
    <w:p w:rsidR="00EA4200" w:rsidRPr="00CA6DDE" w:rsidRDefault="00EA4200" w:rsidP="00F34072">
      <w:pPr>
        <w:pStyle w:val="AMFNotedebasdepage"/>
      </w:pPr>
      <w:r w:rsidRPr="00CA6DDE">
        <w:rPr>
          <w:rStyle w:val="Appelnotedebasdep"/>
          <w:sz w:val="14"/>
          <w:szCs w:val="14"/>
        </w:rPr>
        <w:footnoteRef/>
      </w:r>
      <w:r w:rsidRPr="00CA6DDE">
        <w:t xml:space="preserve"> Au sens de l’instruction </w:t>
      </w:r>
      <w:r>
        <w:t>DOC-</w:t>
      </w:r>
      <w:r w:rsidRPr="00CA6DDE">
        <w:t xml:space="preserve">2012-01 c’est-à-dire si une fonction permanente et </w:t>
      </w:r>
      <w:r w:rsidRPr="00CA6DDE">
        <w:rPr>
          <w:u w:val="single"/>
        </w:rPr>
        <w:t>indépendante</w:t>
      </w:r>
      <w:r w:rsidRPr="00CA6DDE">
        <w:t xml:space="preserve"> de gestion des risques est requise.</w:t>
      </w:r>
    </w:p>
  </w:footnote>
  <w:footnote w:id="3">
    <w:p w:rsidR="00EA4200" w:rsidRDefault="00EA4200" w:rsidP="00F34072">
      <w:pPr>
        <w:pStyle w:val="AMFNotedebasdepage"/>
      </w:pPr>
      <w:r>
        <w:rPr>
          <w:rStyle w:val="Appelnotedebasdep"/>
        </w:rPr>
        <w:footnoteRef/>
      </w:r>
      <w:r>
        <w:t xml:space="preserve"> </w:t>
      </w:r>
      <w:r w:rsidRPr="007C69E3">
        <w:t>En cas de non indépendance de la gestion des risques et/ou de délégation de cette fonction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B34C88"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F2A58"/>
    <w:rsid w:val="002169A1"/>
    <w:rsid w:val="00220FEC"/>
    <w:rsid w:val="00232514"/>
    <w:rsid w:val="002434A6"/>
    <w:rsid w:val="002439C4"/>
    <w:rsid w:val="00283EE8"/>
    <w:rsid w:val="002B722D"/>
    <w:rsid w:val="002C5D9F"/>
    <w:rsid w:val="002E4658"/>
    <w:rsid w:val="002F705A"/>
    <w:rsid w:val="0033290D"/>
    <w:rsid w:val="00333E95"/>
    <w:rsid w:val="00341A63"/>
    <w:rsid w:val="00341B87"/>
    <w:rsid w:val="00365E82"/>
    <w:rsid w:val="0039033D"/>
    <w:rsid w:val="003A7F70"/>
    <w:rsid w:val="003B0015"/>
    <w:rsid w:val="003F0F4E"/>
    <w:rsid w:val="003F3215"/>
    <w:rsid w:val="00404A83"/>
    <w:rsid w:val="00422D54"/>
    <w:rsid w:val="00445D62"/>
    <w:rsid w:val="004477C2"/>
    <w:rsid w:val="00450248"/>
    <w:rsid w:val="004756DB"/>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6464A"/>
    <w:rsid w:val="00677C18"/>
    <w:rsid w:val="006B0DBA"/>
    <w:rsid w:val="006D254E"/>
    <w:rsid w:val="006E6631"/>
    <w:rsid w:val="006F4DC2"/>
    <w:rsid w:val="00721620"/>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34C88"/>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C50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006E38AD-90AE-45E7-AE7E-C7C95311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5</TotalTime>
  <Pages>3</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2021-03-03T10:59:00Z</dcterms:created>
  <dcterms:modified xsi:type="dcterms:W3CDTF">2021-03-03T12:58:00Z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