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3B2658" w:rsidRDefault="00EF7838" w:rsidP="00EF7838">
      <w:pPr>
        <w:pStyle w:val="AMFTitre"/>
        <w:ind w:left="0"/>
        <w:jc w:val="both"/>
      </w:pPr>
      <w:r>
        <w:rPr>
          <w:rFonts w:asciiTheme="minorHAnsi" w:hAnsiTheme="minorHAnsi" w:cstheme="minorHAnsi"/>
          <w:sz w:val="24"/>
          <w:szCs w:val="24"/>
        </w:rPr>
        <w:t>DOSSIER DE NOTIFICATION DE COMMERCIALISATION EN FRANCE DE PARTS OU ACTIONS DE FIA DE L’UNION EUROPEENNE (Y COMPRIS FRANÇAIS) GERE PAR UNE SOCIETE DE GESTION DE PORTEFEUILLE AGREEE EN FRANCE</w:t>
      </w:r>
      <w:r w:rsidRPr="00E1204F">
        <w:rPr>
          <w:noProof/>
        </w:rPr>
        <w:t xml:space="preserve"> </w:t>
      </w:r>
      <w:r w:rsidR="00E1204F"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2F7DE0" w:rsidRPr="002F7DE0" w:rsidRDefault="002F7DE0" w:rsidP="002F7DE0">
      <w:pPr>
        <w:jc w:val="both"/>
        <w:rPr>
          <w:rFonts w:asciiTheme="minorHAnsi" w:hAnsiTheme="minorHAnsi" w:cstheme="minorHAnsi"/>
          <w:sz w:val="20"/>
          <w:szCs w:val="20"/>
        </w:rPr>
      </w:pPr>
    </w:p>
    <w:p w:rsidR="002F7DE0" w:rsidRPr="002F7DE0" w:rsidRDefault="002F7DE0" w:rsidP="002F7DE0">
      <w:pPr>
        <w:jc w:val="both"/>
        <w:rPr>
          <w:rFonts w:asciiTheme="minorHAnsi" w:hAnsiTheme="minorHAnsi" w:cstheme="minorHAnsi"/>
          <w:sz w:val="20"/>
          <w:szCs w:val="20"/>
        </w:rPr>
      </w:pPr>
      <w:r w:rsidRPr="002F7DE0">
        <w:rPr>
          <w:rFonts w:asciiTheme="minorHAnsi" w:hAnsiTheme="minorHAnsi" w:cstheme="minorHAnsi"/>
          <w:sz w:val="20"/>
          <w:szCs w:val="20"/>
        </w:rPr>
        <w:t>Ce document constitue l’annexe 1 de l’instruction AMF - Procédure</w:t>
      </w:r>
      <w:r w:rsidR="000D1B66">
        <w:rPr>
          <w:rFonts w:asciiTheme="minorHAnsi" w:hAnsiTheme="minorHAnsi" w:cstheme="minorHAnsi"/>
          <w:sz w:val="20"/>
          <w:szCs w:val="20"/>
        </w:rPr>
        <w:t>s</w:t>
      </w:r>
      <w:bookmarkStart w:id="0" w:name="_GoBack"/>
      <w:bookmarkEnd w:id="0"/>
      <w:r w:rsidRPr="002F7DE0">
        <w:rPr>
          <w:rFonts w:asciiTheme="minorHAnsi" w:hAnsiTheme="minorHAnsi" w:cstheme="minorHAnsi"/>
          <w:sz w:val="20"/>
          <w:szCs w:val="20"/>
        </w:rPr>
        <w:t xml:space="preserve"> de </w:t>
      </w:r>
      <w:r w:rsidR="00CF285A">
        <w:rPr>
          <w:rFonts w:asciiTheme="minorHAnsi" w:hAnsiTheme="minorHAnsi" w:cstheme="minorHAnsi"/>
          <w:sz w:val="20"/>
          <w:szCs w:val="20"/>
        </w:rPr>
        <w:t xml:space="preserve">pré-commercialisation et de </w:t>
      </w:r>
      <w:r w:rsidRPr="002F7DE0">
        <w:rPr>
          <w:rFonts w:asciiTheme="minorHAnsi" w:hAnsiTheme="minorHAnsi" w:cstheme="minorHAnsi"/>
          <w:sz w:val="20"/>
          <w:szCs w:val="20"/>
        </w:rPr>
        <w:t>commercialisation de parts ou actions de FIA – DOC-2014-03</w:t>
      </w:r>
    </w:p>
    <w:p w:rsidR="002F7DE0" w:rsidRPr="002F7DE0" w:rsidRDefault="002F7DE0" w:rsidP="002F7DE0">
      <w:pPr>
        <w:jc w:val="both"/>
        <w:rPr>
          <w:rFonts w:asciiTheme="minorHAnsi" w:hAnsiTheme="minorHAnsi" w:cstheme="minorHAnsi"/>
          <w:sz w:val="20"/>
          <w:szCs w:val="20"/>
        </w:rPr>
      </w:pPr>
    </w:p>
    <w:p w:rsidR="002F7DE0" w:rsidRDefault="002F7DE0" w:rsidP="002F7DE0">
      <w:pPr>
        <w:pStyle w:val="AMFDate"/>
        <w:ind w:left="0"/>
        <w:jc w:val="left"/>
        <w:rPr>
          <w:rFonts w:asciiTheme="minorHAnsi" w:hAnsiTheme="minorHAnsi" w:cstheme="minorHAnsi"/>
          <w:b w:val="0"/>
        </w:rPr>
      </w:pPr>
    </w:p>
    <w:p w:rsidR="002F7DE0" w:rsidRPr="008044F9" w:rsidRDefault="002F7DE0" w:rsidP="002F7DE0">
      <w:pPr>
        <w:pStyle w:val="AMFDoctrineEncadr"/>
        <w:spacing w:line="240" w:lineRule="auto"/>
      </w:pPr>
      <w:r w:rsidRPr="008044F9">
        <w:t>Ce document n’a pas été actualisé au regard des textes transposant la di</w:t>
      </w:r>
      <w:r w:rsidR="00191736">
        <w:t>rective 2019/1160 du Parlement e</w:t>
      </w:r>
      <w:r w:rsidRPr="008044F9">
        <w:t xml:space="preserve">uropéen et du Conseil du 20 juin 2019. </w:t>
      </w:r>
    </w:p>
    <w:p w:rsidR="002F7DE0" w:rsidRPr="008044F9" w:rsidRDefault="002F7DE0" w:rsidP="002F7DE0">
      <w:pPr>
        <w:pStyle w:val="AMFDoctrineEncadr"/>
        <w:spacing w:line="240" w:lineRule="auto"/>
      </w:pPr>
      <w:r w:rsidRPr="008044F9">
        <w:t xml:space="preserve">Cette actualisation sera réalisée prochainement. </w:t>
      </w:r>
    </w:p>
    <w:p w:rsidR="002F7DE0" w:rsidRPr="008044F9" w:rsidRDefault="002F7DE0" w:rsidP="002F7DE0">
      <w:pPr>
        <w:pStyle w:val="AMFDoctrineEncadr"/>
        <w:spacing w:line="240" w:lineRule="auto"/>
      </w:pPr>
      <w:r w:rsidRPr="008044F9">
        <w:t>La lettre de notification devra comporter les informations, y compris l'adresse, nécessaires à la facturation ou à la communication des éventuels frais ou charges réglementaires applicables par l’AMF, ainsi que les informations sur les facilités permettant d'exécuter les tâches visées à l'article 421-13 du règlement général de l’AMF.</w:t>
      </w:r>
    </w:p>
    <w:p w:rsidR="002F7DE0" w:rsidRDefault="002F7DE0" w:rsidP="002F7DE0">
      <w:pPr>
        <w:jc w:val="both"/>
        <w:rPr>
          <w:rFonts w:asciiTheme="minorHAnsi" w:hAnsiTheme="minorHAnsi" w:cstheme="minorHAnsi"/>
          <w:sz w:val="20"/>
          <w:szCs w:val="20"/>
        </w:rPr>
      </w:pPr>
    </w:p>
    <w:p w:rsidR="00432F54" w:rsidRPr="002F7DE0" w:rsidRDefault="00432F54" w:rsidP="002F7DE0">
      <w:pPr>
        <w:jc w:val="both"/>
        <w:rPr>
          <w:rFonts w:asciiTheme="minorHAnsi" w:hAnsiTheme="minorHAnsi" w:cstheme="minorHAnsi"/>
          <w:sz w:val="20"/>
          <w:szCs w:val="20"/>
        </w:rPr>
      </w:pP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Dénomination sociale de la société de gestion de portefeuille :</w:t>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r>
      <w:r w:rsidRPr="00552D57">
        <w:rPr>
          <w:rFonts w:asciiTheme="minorHAnsi" w:hAnsiTheme="minorHAnsi" w:cstheme="minorHAnsi"/>
          <w:sz w:val="20"/>
          <w:szCs w:val="20"/>
        </w:rPr>
        <w:softHyphen/>
        <w:t xml:space="preserve"> </w:t>
      </w: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____________________________________________________________________________________________________</w:t>
      </w:r>
    </w:p>
    <w:p w:rsidR="00552D57" w:rsidRPr="00552D57" w:rsidRDefault="00552D57" w:rsidP="00552D57">
      <w:pPr>
        <w:jc w:val="both"/>
        <w:rPr>
          <w:rFonts w:asciiTheme="minorHAnsi" w:hAnsiTheme="minorHAnsi" w:cstheme="minorHAnsi"/>
          <w:sz w:val="20"/>
          <w:szCs w:val="20"/>
        </w:rPr>
      </w:pP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Adresse de la société de gestion de portefeuille :</w:t>
      </w: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____________________________________________________________________________________________________</w:t>
      </w:r>
    </w:p>
    <w:p w:rsidR="00552D57" w:rsidRPr="00552D57" w:rsidRDefault="00552D57" w:rsidP="00552D57">
      <w:pPr>
        <w:jc w:val="both"/>
        <w:rPr>
          <w:rFonts w:asciiTheme="minorHAnsi" w:hAnsiTheme="minorHAnsi" w:cstheme="minorHAnsi"/>
          <w:sz w:val="20"/>
          <w:szCs w:val="20"/>
        </w:rPr>
      </w:pPr>
    </w:p>
    <w:p w:rsidR="00552D57" w:rsidRPr="00552D57" w:rsidRDefault="00552D57" w:rsidP="00552D57">
      <w:pPr>
        <w:jc w:val="both"/>
        <w:rPr>
          <w:rFonts w:asciiTheme="minorHAnsi" w:hAnsiTheme="minorHAnsi" w:cstheme="minorHAnsi"/>
          <w:sz w:val="20"/>
          <w:szCs w:val="20"/>
        </w:rPr>
      </w:pP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Le FIA a-t-il des compartiments ?</w:t>
      </w: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 xml:space="preserve">Oui  </w:t>
      </w:r>
      <w:r w:rsidRPr="00552D57">
        <w:rPr>
          <w:rFonts w:asciiTheme="minorHAnsi" w:hAnsiTheme="minorHAnsi" w:cstheme="minorHAnsi"/>
          <w:b/>
          <w:sz w:val="20"/>
          <w:szCs w:val="20"/>
        </w:rPr>
        <w:fldChar w:fldCharType="begin">
          <w:ffData>
            <w:name w:val="Check15"/>
            <w:enabled/>
            <w:calcOnExit w:val="0"/>
            <w:checkBox>
              <w:sizeAuto/>
              <w:default w:val="0"/>
            </w:checkBox>
          </w:ffData>
        </w:fldChar>
      </w:r>
      <w:r w:rsidRPr="00552D57">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552D57">
        <w:rPr>
          <w:rFonts w:asciiTheme="minorHAnsi" w:hAnsiTheme="minorHAnsi" w:cstheme="minorHAnsi"/>
          <w:sz w:val="20"/>
          <w:szCs w:val="20"/>
        </w:rPr>
        <w:fldChar w:fldCharType="end"/>
      </w:r>
      <w:r w:rsidRPr="00552D57">
        <w:rPr>
          <w:rFonts w:asciiTheme="minorHAnsi" w:hAnsiTheme="minorHAnsi" w:cstheme="minorHAnsi"/>
          <w:sz w:val="20"/>
          <w:szCs w:val="20"/>
        </w:rPr>
        <w:t xml:space="preserve">  Non </w:t>
      </w:r>
      <w:r w:rsidRPr="00552D57">
        <w:rPr>
          <w:rFonts w:asciiTheme="minorHAnsi" w:hAnsiTheme="minorHAnsi" w:cstheme="minorHAnsi"/>
          <w:b/>
          <w:sz w:val="20"/>
          <w:szCs w:val="20"/>
        </w:rPr>
        <w:fldChar w:fldCharType="begin">
          <w:ffData>
            <w:name w:val="Check15"/>
            <w:enabled/>
            <w:calcOnExit w:val="0"/>
            <w:checkBox>
              <w:sizeAuto/>
              <w:default w:val="0"/>
            </w:checkBox>
          </w:ffData>
        </w:fldChar>
      </w:r>
      <w:r w:rsidRPr="00552D57">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552D57">
        <w:rPr>
          <w:rFonts w:asciiTheme="minorHAnsi" w:hAnsiTheme="minorHAnsi" w:cstheme="minorHAnsi"/>
          <w:sz w:val="20"/>
          <w:szCs w:val="20"/>
        </w:rPr>
        <w:fldChar w:fldCharType="end"/>
      </w:r>
    </w:p>
    <w:p w:rsidR="00552D57" w:rsidRPr="00552D57" w:rsidRDefault="00552D57" w:rsidP="00552D57">
      <w:pPr>
        <w:jc w:val="both"/>
        <w:rPr>
          <w:rFonts w:asciiTheme="minorHAnsi" w:hAnsiTheme="minorHAnsi" w:cstheme="minorHAnsi"/>
          <w:sz w:val="20"/>
          <w:szCs w:val="20"/>
        </w:rPr>
      </w:pP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sz w:val="20"/>
          <w:szCs w:val="20"/>
        </w:rPr>
        <w:t>Objet du dossier :</w:t>
      </w: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b/>
          <w:sz w:val="20"/>
          <w:szCs w:val="20"/>
        </w:rPr>
        <w:fldChar w:fldCharType="begin">
          <w:ffData>
            <w:name w:val="Check15"/>
            <w:enabled/>
            <w:calcOnExit w:val="0"/>
            <w:checkBox>
              <w:sizeAuto/>
              <w:default w:val="0"/>
            </w:checkBox>
          </w:ffData>
        </w:fldChar>
      </w:r>
      <w:r w:rsidRPr="00552D57">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552D57">
        <w:rPr>
          <w:rFonts w:asciiTheme="minorHAnsi" w:hAnsiTheme="minorHAnsi" w:cstheme="minorHAnsi"/>
          <w:sz w:val="20"/>
          <w:szCs w:val="20"/>
        </w:rPr>
        <w:fldChar w:fldCharType="end"/>
      </w:r>
      <w:r w:rsidRPr="00552D57">
        <w:rPr>
          <w:rFonts w:asciiTheme="minorHAnsi" w:hAnsiTheme="minorHAnsi" w:cstheme="minorHAnsi"/>
          <w:b/>
          <w:sz w:val="20"/>
          <w:szCs w:val="20"/>
        </w:rPr>
        <w:t xml:space="preserve"> </w:t>
      </w:r>
      <w:r w:rsidRPr="00552D57">
        <w:rPr>
          <w:rFonts w:asciiTheme="minorHAnsi" w:hAnsiTheme="minorHAnsi" w:cstheme="minorHAnsi"/>
          <w:sz w:val="20"/>
          <w:szCs w:val="20"/>
        </w:rPr>
        <w:t>Notification de commercialisation auprès de clients professionnels</w:t>
      </w:r>
    </w:p>
    <w:p w:rsidR="00552D57" w:rsidRPr="00552D57" w:rsidRDefault="00552D57" w:rsidP="00552D57">
      <w:pPr>
        <w:jc w:val="both"/>
        <w:rPr>
          <w:rFonts w:asciiTheme="minorHAnsi" w:hAnsiTheme="minorHAnsi" w:cstheme="minorHAnsi"/>
          <w:sz w:val="20"/>
          <w:szCs w:val="20"/>
        </w:rPr>
      </w:pPr>
      <w:r w:rsidRPr="00552D57">
        <w:rPr>
          <w:rFonts w:asciiTheme="minorHAnsi" w:hAnsiTheme="minorHAnsi" w:cstheme="minorHAnsi"/>
          <w:b/>
          <w:sz w:val="20"/>
          <w:szCs w:val="20"/>
        </w:rPr>
        <w:fldChar w:fldCharType="begin">
          <w:ffData>
            <w:name w:val="Check15"/>
            <w:enabled/>
            <w:calcOnExit w:val="0"/>
            <w:checkBox>
              <w:sizeAuto/>
              <w:default w:val="0"/>
            </w:checkBox>
          </w:ffData>
        </w:fldChar>
      </w:r>
      <w:r w:rsidRPr="00552D57">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552D57">
        <w:rPr>
          <w:rFonts w:asciiTheme="minorHAnsi" w:hAnsiTheme="minorHAnsi" w:cstheme="minorHAnsi"/>
          <w:sz w:val="20"/>
          <w:szCs w:val="20"/>
        </w:rPr>
        <w:fldChar w:fldCharType="end"/>
      </w:r>
      <w:r w:rsidRPr="00552D57">
        <w:rPr>
          <w:rFonts w:asciiTheme="minorHAnsi" w:hAnsiTheme="minorHAnsi" w:cstheme="minorHAnsi"/>
          <w:b/>
          <w:sz w:val="20"/>
          <w:szCs w:val="20"/>
        </w:rPr>
        <w:t xml:space="preserve"> </w:t>
      </w:r>
      <w:r w:rsidRPr="00552D57">
        <w:rPr>
          <w:rFonts w:asciiTheme="minorHAnsi" w:hAnsiTheme="minorHAnsi" w:cstheme="minorHAnsi"/>
          <w:sz w:val="20"/>
          <w:szCs w:val="20"/>
        </w:rPr>
        <w:t>Demande d’autorisation à la commercialisation auprès de clients non professionnels (si le FIA est établi dans un autre Etat membre de l’Union européenne, joindre impérativement les pièces justifiant du respect des conditions de l’article 421-13 du règlement général de l’AMF)</w:t>
      </w:r>
    </w:p>
    <w:p w:rsidR="00922AD8" w:rsidRPr="002F7DE0" w:rsidRDefault="00922AD8" w:rsidP="002F7DE0">
      <w:pPr>
        <w:jc w:val="both"/>
        <w:rPr>
          <w:rFonts w:asciiTheme="minorHAnsi" w:hAnsiTheme="minorHAnsi" w:cstheme="minorHAnsi"/>
          <w:sz w:val="20"/>
          <w:szCs w:val="20"/>
        </w:rPr>
      </w:pPr>
    </w:p>
    <w:p w:rsidR="00922AD8" w:rsidRDefault="00922AD8" w:rsidP="002F7DE0">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31"/>
        <w:gridCol w:w="1140"/>
        <w:gridCol w:w="1265"/>
        <w:gridCol w:w="1269"/>
        <w:gridCol w:w="1429"/>
        <w:gridCol w:w="1694"/>
      </w:tblGrid>
      <w:tr w:rsidR="00432F54" w:rsidRPr="00432F54" w:rsidTr="006B353F">
        <w:tc>
          <w:tcPr>
            <w:tcW w:w="522"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Nom du FIA ou du compartiment qui sera commercialisé en France</w:t>
            </w:r>
          </w:p>
        </w:tc>
        <w:tc>
          <w:tcPr>
            <w:tcW w:w="629"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Etat d’origine du FIA</w:t>
            </w:r>
          </w:p>
        </w:tc>
        <w:tc>
          <w:tcPr>
            <w:tcW w:w="688"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 xml:space="preserve">Forme juridique (fonds, société, etc.) </w:t>
            </w:r>
          </w:p>
        </w:tc>
        <w:tc>
          <w:tcPr>
            <w:tcW w:w="756" w:type="pct"/>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Nom et adresse du dépositaire</w:t>
            </w:r>
          </w:p>
        </w:tc>
        <w:tc>
          <w:tcPr>
            <w:tcW w:w="758"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Nom du FIA maître (le cas échéant)</w:t>
            </w:r>
          </w:p>
        </w:tc>
        <w:tc>
          <w:tcPr>
            <w:tcW w:w="845"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 xml:space="preserve">Etat d’origine du FIA maître (le cas échéant) </w:t>
            </w:r>
          </w:p>
        </w:tc>
        <w:tc>
          <w:tcPr>
            <w:tcW w:w="801" w:type="pct"/>
            <w:shd w:val="clear" w:color="auto" w:fill="auto"/>
          </w:tcPr>
          <w:p w:rsidR="00432F54" w:rsidRPr="00432F54" w:rsidRDefault="00432F54" w:rsidP="00432F54">
            <w:pPr>
              <w:jc w:val="both"/>
              <w:rPr>
                <w:rFonts w:asciiTheme="minorHAnsi" w:hAnsiTheme="minorHAnsi" w:cstheme="minorHAnsi"/>
                <w:sz w:val="20"/>
                <w:szCs w:val="20"/>
              </w:rPr>
            </w:pPr>
            <w:r w:rsidRPr="00432F54">
              <w:rPr>
                <w:rFonts w:asciiTheme="minorHAnsi" w:hAnsiTheme="minorHAnsi" w:cstheme="minorHAnsi"/>
                <w:sz w:val="20"/>
                <w:szCs w:val="20"/>
              </w:rPr>
              <w:t>Stratégie d’investissement (y compris, le cas échéant, existence de classes/catégories de parts ou actions)</w:t>
            </w:r>
          </w:p>
        </w:tc>
      </w:tr>
      <w:tr w:rsidR="00432F54" w:rsidRPr="00432F54" w:rsidTr="006B353F">
        <w:tc>
          <w:tcPr>
            <w:tcW w:w="522" w:type="pct"/>
            <w:shd w:val="clear" w:color="auto" w:fill="auto"/>
          </w:tcPr>
          <w:p w:rsidR="00432F54" w:rsidRPr="00432F54" w:rsidRDefault="00432F54" w:rsidP="00432F54">
            <w:pPr>
              <w:jc w:val="both"/>
              <w:rPr>
                <w:rFonts w:asciiTheme="minorHAnsi" w:hAnsiTheme="minorHAnsi" w:cstheme="minorHAnsi"/>
                <w:sz w:val="20"/>
                <w:szCs w:val="20"/>
              </w:rPr>
            </w:pPr>
          </w:p>
        </w:tc>
        <w:tc>
          <w:tcPr>
            <w:tcW w:w="629" w:type="pct"/>
            <w:shd w:val="clear" w:color="auto" w:fill="auto"/>
          </w:tcPr>
          <w:p w:rsidR="00432F54" w:rsidRPr="00432F54" w:rsidRDefault="00432F54" w:rsidP="00432F54">
            <w:pPr>
              <w:jc w:val="both"/>
              <w:rPr>
                <w:rFonts w:asciiTheme="minorHAnsi" w:hAnsiTheme="minorHAnsi" w:cstheme="minorHAnsi"/>
                <w:sz w:val="20"/>
                <w:szCs w:val="20"/>
              </w:rPr>
            </w:pPr>
          </w:p>
        </w:tc>
        <w:tc>
          <w:tcPr>
            <w:tcW w:w="688" w:type="pct"/>
            <w:shd w:val="clear" w:color="auto" w:fill="auto"/>
          </w:tcPr>
          <w:p w:rsidR="00432F54" w:rsidRPr="00432F54" w:rsidRDefault="00432F54" w:rsidP="00432F54">
            <w:pPr>
              <w:jc w:val="both"/>
              <w:rPr>
                <w:rFonts w:asciiTheme="minorHAnsi" w:hAnsiTheme="minorHAnsi" w:cstheme="minorHAnsi"/>
                <w:sz w:val="20"/>
                <w:szCs w:val="20"/>
              </w:rPr>
            </w:pPr>
          </w:p>
        </w:tc>
        <w:tc>
          <w:tcPr>
            <w:tcW w:w="756" w:type="pct"/>
          </w:tcPr>
          <w:p w:rsidR="00432F54" w:rsidRPr="00432F54" w:rsidRDefault="00432F54" w:rsidP="00432F54">
            <w:pPr>
              <w:jc w:val="both"/>
              <w:rPr>
                <w:rFonts w:asciiTheme="minorHAnsi" w:hAnsiTheme="minorHAnsi" w:cstheme="minorHAnsi"/>
                <w:sz w:val="20"/>
                <w:szCs w:val="20"/>
              </w:rPr>
            </w:pPr>
          </w:p>
        </w:tc>
        <w:tc>
          <w:tcPr>
            <w:tcW w:w="758" w:type="pct"/>
            <w:shd w:val="clear" w:color="auto" w:fill="auto"/>
          </w:tcPr>
          <w:p w:rsidR="00432F54" w:rsidRPr="00432F54" w:rsidRDefault="00432F54" w:rsidP="00432F54">
            <w:pPr>
              <w:jc w:val="both"/>
              <w:rPr>
                <w:rFonts w:asciiTheme="minorHAnsi" w:hAnsiTheme="minorHAnsi" w:cstheme="minorHAnsi"/>
                <w:sz w:val="20"/>
                <w:szCs w:val="20"/>
              </w:rPr>
            </w:pPr>
          </w:p>
        </w:tc>
        <w:tc>
          <w:tcPr>
            <w:tcW w:w="845" w:type="pct"/>
            <w:shd w:val="clear" w:color="auto" w:fill="auto"/>
          </w:tcPr>
          <w:p w:rsidR="00432F54" w:rsidRPr="00432F54" w:rsidRDefault="00432F54" w:rsidP="00432F54">
            <w:pPr>
              <w:jc w:val="both"/>
              <w:rPr>
                <w:rFonts w:asciiTheme="minorHAnsi" w:hAnsiTheme="minorHAnsi" w:cstheme="minorHAnsi"/>
                <w:sz w:val="20"/>
                <w:szCs w:val="20"/>
              </w:rPr>
            </w:pPr>
          </w:p>
        </w:tc>
        <w:tc>
          <w:tcPr>
            <w:tcW w:w="801" w:type="pct"/>
            <w:shd w:val="clear" w:color="auto" w:fill="auto"/>
          </w:tcPr>
          <w:p w:rsidR="00432F54" w:rsidRPr="00432F54" w:rsidRDefault="00432F54" w:rsidP="00432F54">
            <w:pPr>
              <w:jc w:val="both"/>
              <w:rPr>
                <w:rFonts w:asciiTheme="minorHAnsi" w:hAnsiTheme="minorHAnsi" w:cstheme="minorHAnsi"/>
                <w:sz w:val="20"/>
                <w:szCs w:val="20"/>
              </w:rPr>
            </w:pPr>
          </w:p>
        </w:tc>
      </w:tr>
      <w:tr w:rsidR="00432F54" w:rsidRPr="00432F54" w:rsidTr="006B353F">
        <w:tc>
          <w:tcPr>
            <w:tcW w:w="522" w:type="pct"/>
            <w:shd w:val="clear" w:color="auto" w:fill="auto"/>
          </w:tcPr>
          <w:p w:rsidR="00432F54" w:rsidRPr="00432F54" w:rsidRDefault="00432F54" w:rsidP="00432F54">
            <w:pPr>
              <w:jc w:val="both"/>
              <w:rPr>
                <w:rFonts w:asciiTheme="minorHAnsi" w:hAnsiTheme="minorHAnsi" w:cstheme="minorHAnsi"/>
                <w:sz w:val="20"/>
                <w:szCs w:val="20"/>
              </w:rPr>
            </w:pPr>
          </w:p>
        </w:tc>
        <w:tc>
          <w:tcPr>
            <w:tcW w:w="629" w:type="pct"/>
            <w:shd w:val="clear" w:color="auto" w:fill="auto"/>
          </w:tcPr>
          <w:p w:rsidR="00432F54" w:rsidRPr="00432F54" w:rsidRDefault="00432F54" w:rsidP="00432F54">
            <w:pPr>
              <w:jc w:val="both"/>
              <w:rPr>
                <w:rFonts w:asciiTheme="minorHAnsi" w:hAnsiTheme="minorHAnsi" w:cstheme="minorHAnsi"/>
                <w:sz w:val="20"/>
                <w:szCs w:val="20"/>
              </w:rPr>
            </w:pPr>
          </w:p>
        </w:tc>
        <w:tc>
          <w:tcPr>
            <w:tcW w:w="688" w:type="pct"/>
            <w:shd w:val="clear" w:color="auto" w:fill="auto"/>
          </w:tcPr>
          <w:p w:rsidR="00432F54" w:rsidRPr="00432F54" w:rsidRDefault="00432F54" w:rsidP="00432F54">
            <w:pPr>
              <w:jc w:val="both"/>
              <w:rPr>
                <w:rFonts w:asciiTheme="minorHAnsi" w:hAnsiTheme="minorHAnsi" w:cstheme="minorHAnsi"/>
                <w:sz w:val="20"/>
                <w:szCs w:val="20"/>
              </w:rPr>
            </w:pPr>
          </w:p>
        </w:tc>
        <w:tc>
          <w:tcPr>
            <w:tcW w:w="756" w:type="pct"/>
          </w:tcPr>
          <w:p w:rsidR="00432F54" w:rsidRPr="00432F54" w:rsidRDefault="00432F54" w:rsidP="00432F54">
            <w:pPr>
              <w:jc w:val="both"/>
              <w:rPr>
                <w:rFonts w:asciiTheme="minorHAnsi" w:hAnsiTheme="minorHAnsi" w:cstheme="minorHAnsi"/>
                <w:sz w:val="20"/>
                <w:szCs w:val="20"/>
              </w:rPr>
            </w:pPr>
          </w:p>
        </w:tc>
        <w:tc>
          <w:tcPr>
            <w:tcW w:w="758" w:type="pct"/>
            <w:shd w:val="clear" w:color="auto" w:fill="auto"/>
          </w:tcPr>
          <w:p w:rsidR="00432F54" w:rsidRPr="00432F54" w:rsidRDefault="00432F54" w:rsidP="00432F54">
            <w:pPr>
              <w:jc w:val="both"/>
              <w:rPr>
                <w:rFonts w:asciiTheme="minorHAnsi" w:hAnsiTheme="minorHAnsi" w:cstheme="minorHAnsi"/>
                <w:sz w:val="20"/>
                <w:szCs w:val="20"/>
              </w:rPr>
            </w:pPr>
          </w:p>
        </w:tc>
        <w:tc>
          <w:tcPr>
            <w:tcW w:w="845" w:type="pct"/>
            <w:shd w:val="clear" w:color="auto" w:fill="auto"/>
          </w:tcPr>
          <w:p w:rsidR="00432F54" w:rsidRPr="00432F54" w:rsidRDefault="00432F54" w:rsidP="00432F54">
            <w:pPr>
              <w:jc w:val="both"/>
              <w:rPr>
                <w:rFonts w:asciiTheme="minorHAnsi" w:hAnsiTheme="minorHAnsi" w:cstheme="minorHAnsi"/>
                <w:sz w:val="20"/>
                <w:szCs w:val="20"/>
              </w:rPr>
            </w:pPr>
          </w:p>
        </w:tc>
        <w:tc>
          <w:tcPr>
            <w:tcW w:w="801" w:type="pct"/>
            <w:shd w:val="clear" w:color="auto" w:fill="auto"/>
          </w:tcPr>
          <w:p w:rsidR="00432F54" w:rsidRPr="00432F54" w:rsidRDefault="00432F54" w:rsidP="00432F54">
            <w:pPr>
              <w:jc w:val="both"/>
              <w:rPr>
                <w:rFonts w:asciiTheme="minorHAnsi" w:hAnsiTheme="minorHAnsi" w:cstheme="minorHAnsi"/>
                <w:sz w:val="20"/>
                <w:szCs w:val="20"/>
              </w:rPr>
            </w:pPr>
          </w:p>
        </w:tc>
      </w:tr>
      <w:tr w:rsidR="00432F54" w:rsidRPr="00432F54" w:rsidTr="006B353F">
        <w:tc>
          <w:tcPr>
            <w:tcW w:w="522" w:type="pct"/>
            <w:shd w:val="clear" w:color="auto" w:fill="auto"/>
          </w:tcPr>
          <w:p w:rsidR="00432F54" w:rsidRPr="00432F54" w:rsidRDefault="00432F54" w:rsidP="00432F54">
            <w:pPr>
              <w:jc w:val="both"/>
              <w:rPr>
                <w:rFonts w:asciiTheme="minorHAnsi" w:hAnsiTheme="minorHAnsi" w:cstheme="minorHAnsi"/>
                <w:sz w:val="20"/>
                <w:szCs w:val="20"/>
              </w:rPr>
            </w:pPr>
          </w:p>
        </w:tc>
        <w:tc>
          <w:tcPr>
            <w:tcW w:w="629" w:type="pct"/>
            <w:shd w:val="clear" w:color="auto" w:fill="auto"/>
          </w:tcPr>
          <w:p w:rsidR="00432F54" w:rsidRPr="00432F54" w:rsidRDefault="00432F54" w:rsidP="00432F54">
            <w:pPr>
              <w:jc w:val="both"/>
              <w:rPr>
                <w:rFonts w:asciiTheme="minorHAnsi" w:hAnsiTheme="minorHAnsi" w:cstheme="minorHAnsi"/>
                <w:sz w:val="20"/>
                <w:szCs w:val="20"/>
              </w:rPr>
            </w:pPr>
          </w:p>
        </w:tc>
        <w:tc>
          <w:tcPr>
            <w:tcW w:w="688" w:type="pct"/>
            <w:shd w:val="clear" w:color="auto" w:fill="auto"/>
          </w:tcPr>
          <w:p w:rsidR="00432F54" w:rsidRPr="00432F54" w:rsidRDefault="00432F54" w:rsidP="00432F54">
            <w:pPr>
              <w:jc w:val="both"/>
              <w:rPr>
                <w:rFonts w:asciiTheme="minorHAnsi" w:hAnsiTheme="minorHAnsi" w:cstheme="minorHAnsi"/>
                <w:sz w:val="20"/>
                <w:szCs w:val="20"/>
              </w:rPr>
            </w:pPr>
          </w:p>
        </w:tc>
        <w:tc>
          <w:tcPr>
            <w:tcW w:w="756" w:type="pct"/>
          </w:tcPr>
          <w:p w:rsidR="00432F54" w:rsidRPr="00432F54" w:rsidRDefault="00432F54" w:rsidP="00432F54">
            <w:pPr>
              <w:jc w:val="both"/>
              <w:rPr>
                <w:rFonts w:asciiTheme="minorHAnsi" w:hAnsiTheme="minorHAnsi" w:cstheme="minorHAnsi"/>
                <w:sz w:val="20"/>
                <w:szCs w:val="20"/>
              </w:rPr>
            </w:pPr>
          </w:p>
        </w:tc>
        <w:tc>
          <w:tcPr>
            <w:tcW w:w="758" w:type="pct"/>
            <w:shd w:val="clear" w:color="auto" w:fill="auto"/>
          </w:tcPr>
          <w:p w:rsidR="00432F54" w:rsidRPr="00432F54" w:rsidRDefault="00432F54" w:rsidP="00432F54">
            <w:pPr>
              <w:jc w:val="both"/>
              <w:rPr>
                <w:rFonts w:asciiTheme="minorHAnsi" w:hAnsiTheme="minorHAnsi" w:cstheme="minorHAnsi"/>
                <w:sz w:val="20"/>
                <w:szCs w:val="20"/>
              </w:rPr>
            </w:pPr>
          </w:p>
        </w:tc>
        <w:tc>
          <w:tcPr>
            <w:tcW w:w="845" w:type="pct"/>
            <w:shd w:val="clear" w:color="auto" w:fill="auto"/>
          </w:tcPr>
          <w:p w:rsidR="00432F54" w:rsidRPr="00432F54" w:rsidRDefault="00432F54" w:rsidP="00432F54">
            <w:pPr>
              <w:jc w:val="both"/>
              <w:rPr>
                <w:rFonts w:asciiTheme="minorHAnsi" w:hAnsiTheme="minorHAnsi" w:cstheme="minorHAnsi"/>
                <w:sz w:val="20"/>
                <w:szCs w:val="20"/>
              </w:rPr>
            </w:pPr>
          </w:p>
        </w:tc>
        <w:tc>
          <w:tcPr>
            <w:tcW w:w="801" w:type="pct"/>
            <w:shd w:val="clear" w:color="auto" w:fill="auto"/>
          </w:tcPr>
          <w:p w:rsidR="00432F54" w:rsidRPr="00432F54" w:rsidRDefault="00432F54" w:rsidP="00432F54">
            <w:pPr>
              <w:jc w:val="both"/>
              <w:rPr>
                <w:rFonts w:asciiTheme="minorHAnsi" w:hAnsiTheme="minorHAnsi" w:cstheme="minorHAnsi"/>
                <w:sz w:val="20"/>
                <w:szCs w:val="20"/>
              </w:rPr>
            </w:pPr>
          </w:p>
        </w:tc>
      </w:tr>
    </w:tbl>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lastRenderedPageBreak/>
        <w:t>Pièces à joindre au dossier pour chaque FIA (il est rappelé que tout dossier incomplet est irrecevable) :</w:t>
      </w:r>
    </w:p>
    <w:p w:rsidR="00C048A6" w:rsidRPr="00C048A6" w:rsidRDefault="00C048A6" w:rsidP="00C048A6">
      <w:pPr>
        <w:jc w:val="both"/>
        <w:rPr>
          <w:rFonts w:asciiTheme="minorHAnsi" w:hAnsiTheme="minorHAnsi" w:cstheme="minorHAnsi"/>
          <w:sz w:val="20"/>
          <w:szCs w:val="20"/>
        </w:rPr>
      </w:pPr>
    </w:p>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b/>
          <w:sz w:val="20"/>
          <w:szCs w:val="20"/>
        </w:rPr>
        <w:fldChar w:fldCharType="begin">
          <w:ffData>
            <w:name w:val="Check15"/>
            <w:enabled/>
            <w:calcOnExit w:val="0"/>
            <w:checkBox>
              <w:sizeAuto/>
              <w:default w:val="0"/>
            </w:checkBox>
          </w:ffData>
        </w:fldChar>
      </w:r>
      <w:r w:rsidRPr="00C048A6">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C048A6">
        <w:rPr>
          <w:rFonts w:asciiTheme="minorHAnsi" w:hAnsiTheme="minorHAnsi" w:cstheme="minorHAnsi"/>
          <w:sz w:val="20"/>
          <w:szCs w:val="20"/>
        </w:rPr>
        <w:fldChar w:fldCharType="end"/>
      </w:r>
      <w:r w:rsidRPr="00C048A6">
        <w:rPr>
          <w:rFonts w:asciiTheme="minorHAnsi" w:hAnsiTheme="minorHAnsi" w:cstheme="minorHAnsi"/>
          <w:b/>
          <w:sz w:val="20"/>
          <w:szCs w:val="20"/>
        </w:rPr>
        <w:t xml:space="preserve"> </w:t>
      </w:r>
      <w:r w:rsidRPr="00C048A6">
        <w:rPr>
          <w:rFonts w:asciiTheme="minorHAnsi" w:hAnsiTheme="minorHAnsi" w:cstheme="minorHAnsi"/>
          <w:sz w:val="20"/>
          <w:szCs w:val="20"/>
        </w:rPr>
        <w:t>Règlement ou documents constitutifs du FIA</w:t>
      </w:r>
    </w:p>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b/>
          <w:sz w:val="20"/>
          <w:szCs w:val="20"/>
        </w:rPr>
        <w:fldChar w:fldCharType="begin">
          <w:ffData>
            <w:name w:val="Check15"/>
            <w:enabled/>
            <w:calcOnExit w:val="0"/>
            <w:checkBox>
              <w:sizeAuto/>
              <w:default w:val="0"/>
            </w:checkBox>
          </w:ffData>
        </w:fldChar>
      </w:r>
      <w:r w:rsidRPr="00C048A6">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C048A6">
        <w:rPr>
          <w:rFonts w:asciiTheme="minorHAnsi" w:hAnsiTheme="minorHAnsi" w:cstheme="minorHAnsi"/>
          <w:sz w:val="20"/>
          <w:szCs w:val="20"/>
        </w:rPr>
        <w:fldChar w:fldCharType="end"/>
      </w:r>
      <w:r w:rsidRPr="00C048A6">
        <w:rPr>
          <w:rFonts w:asciiTheme="minorHAnsi" w:hAnsiTheme="minorHAnsi" w:cstheme="minorHAnsi"/>
          <w:b/>
          <w:sz w:val="20"/>
          <w:szCs w:val="20"/>
        </w:rPr>
        <w:t xml:space="preserve"> </w:t>
      </w:r>
      <w:r w:rsidRPr="00C048A6">
        <w:rPr>
          <w:rFonts w:asciiTheme="minorHAnsi" w:hAnsiTheme="minorHAnsi" w:cstheme="minorHAnsi"/>
          <w:sz w:val="20"/>
          <w:szCs w:val="20"/>
        </w:rPr>
        <w:t>Description du FIA, ou toute information le concernant, mise à la disposition des investisseurs (prospectus, DICI, etc.)</w:t>
      </w:r>
    </w:p>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b/>
          <w:sz w:val="20"/>
          <w:szCs w:val="20"/>
        </w:rPr>
        <w:fldChar w:fldCharType="begin">
          <w:ffData>
            <w:name w:val="Check15"/>
            <w:enabled/>
            <w:calcOnExit w:val="0"/>
            <w:checkBox>
              <w:sizeAuto/>
              <w:default w:val="0"/>
            </w:checkBox>
          </w:ffData>
        </w:fldChar>
      </w:r>
      <w:r w:rsidRPr="00C048A6">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C048A6">
        <w:rPr>
          <w:rFonts w:asciiTheme="minorHAnsi" w:hAnsiTheme="minorHAnsi" w:cstheme="minorHAnsi"/>
          <w:sz w:val="20"/>
          <w:szCs w:val="20"/>
        </w:rPr>
        <w:fldChar w:fldCharType="end"/>
      </w:r>
      <w:r w:rsidRPr="00C048A6">
        <w:rPr>
          <w:rFonts w:asciiTheme="minorHAnsi" w:hAnsiTheme="minorHAnsi" w:cstheme="minorHAnsi"/>
          <w:b/>
          <w:sz w:val="20"/>
          <w:szCs w:val="20"/>
        </w:rPr>
        <w:t xml:space="preserve"> </w:t>
      </w:r>
      <w:r w:rsidRPr="00C048A6">
        <w:rPr>
          <w:rFonts w:asciiTheme="minorHAnsi" w:hAnsiTheme="minorHAnsi" w:cstheme="minorHAnsi"/>
          <w:sz w:val="20"/>
          <w:szCs w:val="20"/>
        </w:rPr>
        <w:t xml:space="preserve">Cas où la commercialisation auprès de clients non professionnels n’est pas demandée : des informations sur les dispositions mises en place pour empêcher que les parts ou actions du FIA soient commercialisées auprès de clients non professionnels, y compris lorsque la société de gestion de portefeuille recourt à des entités indépendantes pour fournir des services d'investissement en ce qui concerne le FIA </w:t>
      </w:r>
    </w:p>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b/>
          <w:sz w:val="20"/>
          <w:szCs w:val="20"/>
        </w:rPr>
        <w:fldChar w:fldCharType="begin">
          <w:ffData>
            <w:name w:val="Check15"/>
            <w:enabled/>
            <w:calcOnExit w:val="0"/>
            <w:checkBox>
              <w:sizeAuto/>
              <w:default w:val="0"/>
            </w:checkBox>
          </w:ffData>
        </w:fldChar>
      </w:r>
      <w:r w:rsidRPr="00C048A6">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C048A6">
        <w:rPr>
          <w:rFonts w:asciiTheme="minorHAnsi" w:hAnsiTheme="minorHAnsi" w:cstheme="minorHAnsi"/>
          <w:sz w:val="20"/>
          <w:szCs w:val="20"/>
        </w:rPr>
        <w:fldChar w:fldCharType="end"/>
      </w:r>
      <w:r w:rsidRPr="00C048A6">
        <w:rPr>
          <w:rFonts w:asciiTheme="minorHAnsi" w:hAnsiTheme="minorHAnsi" w:cstheme="minorHAnsi"/>
          <w:b/>
          <w:sz w:val="20"/>
          <w:szCs w:val="20"/>
        </w:rPr>
        <w:t xml:space="preserve"> </w:t>
      </w:r>
      <w:r w:rsidRPr="00C048A6">
        <w:rPr>
          <w:rFonts w:asciiTheme="minorHAnsi" w:hAnsiTheme="minorHAnsi" w:cstheme="minorHAnsi"/>
          <w:sz w:val="20"/>
          <w:szCs w:val="20"/>
        </w:rPr>
        <w:t xml:space="preserve">Cas où la commercialisation auprès de clients non professionnels est demandée : si le FIA est établi dans un autre Etat membre que la France, justificatif du respect des conditions prévues à l’article 421-13 du règlement général de l’AMF </w:t>
      </w:r>
    </w:p>
    <w:p w:rsidR="00C048A6" w:rsidRPr="00C048A6" w:rsidRDefault="00C048A6" w:rsidP="00C048A6">
      <w:pPr>
        <w:jc w:val="both"/>
        <w:rPr>
          <w:rFonts w:asciiTheme="minorHAnsi" w:hAnsiTheme="minorHAnsi" w:cstheme="minorHAnsi"/>
          <w:b/>
          <w:sz w:val="20"/>
          <w:szCs w:val="20"/>
        </w:rPr>
      </w:pPr>
      <w:r w:rsidRPr="00C048A6">
        <w:rPr>
          <w:rFonts w:asciiTheme="minorHAnsi" w:hAnsiTheme="minorHAnsi" w:cstheme="minorHAnsi"/>
          <w:b/>
          <w:sz w:val="20"/>
          <w:szCs w:val="20"/>
        </w:rPr>
        <w:fldChar w:fldCharType="begin">
          <w:ffData>
            <w:name w:val="Check15"/>
            <w:enabled/>
            <w:calcOnExit w:val="0"/>
            <w:checkBox>
              <w:sizeAuto/>
              <w:default w:val="0"/>
            </w:checkBox>
          </w:ffData>
        </w:fldChar>
      </w:r>
      <w:r w:rsidRPr="00C048A6">
        <w:rPr>
          <w:rFonts w:asciiTheme="minorHAnsi" w:hAnsiTheme="minorHAnsi" w:cstheme="minorHAnsi"/>
          <w:b/>
          <w:sz w:val="20"/>
          <w:szCs w:val="20"/>
        </w:rPr>
        <w:instrText xml:space="preserve"> FORMCHECKBOX </w:instrText>
      </w:r>
      <w:r w:rsidR="000D1B66">
        <w:rPr>
          <w:rFonts w:asciiTheme="minorHAnsi" w:hAnsiTheme="minorHAnsi" w:cstheme="minorHAnsi"/>
          <w:b/>
          <w:sz w:val="20"/>
          <w:szCs w:val="20"/>
        </w:rPr>
      </w:r>
      <w:r w:rsidR="000D1B66">
        <w:rPr>
          <w:rFonts w:asciiTheme="minorHAnsi" w:hAnsiTheme="minorHAnsi" w:cstheme="minorHAnsi"/>
          <w:b/>
          <w:sz w:val="20"/>
          <w:szCs w:val="20"/>
        </w:rPr>
        <w:fldChar w:fldCharType="separate"/>
      </w:r>
      <w:r w:rsidRPr="00C048A6">
        <w:rPr>
          <w:rFonts w:asciiTheme="minorHAnsi" w:hAnsiTheme="minorHAnsi" w:cstheme="minorHAnsi"/>
          <w:sz w:val="20"/>
          <w:szCs w:val="20"/>
        </w:rPr>
        <w:fldChar w:fldCharType="end"/>
      </w:r>
      <w:r w:rsidRPr="00C048A6">
        <w:rPr>
          <w:rFonts w:asciiTheme="minorHAnsi" w:hAnsiTheme="minorHAnsi" w:cstheme="minorHAnsi"/>
          <w:b/>
          <w:sz w:val="20"/>
          <w:szCs w:val="20"/>
        </w:rPr>
        <w:t xml:space="preserve"> </w:t>
      </w:r>
      <w:r w:rsidRPr="00C048A6">
        <w:rPr>
          <w:rFonts w:asciiTheme="minorHAnsi" w:hAnsiTheme="minorHAnsi" w:cstheme="minorHAnsi"/>
          <w:sz w:val="20"/>
          <w:szCs w:val="20"/>
        </w:rPr>
        <w:t>Toute information supplémentaire visée aux deuxième et troisième alinéas de l'article L. 214-24-19 du code monétaire et financier pour chaque FIA que la société de gestion de portefeuille prévoit de commercialiser ; si une ou plusieurs de ces informations figurent déjà dans des documents transmis en parallèle à l’AMF (par exemple, prospectus) la société de gestion de portefeuille indique où trouver ces informations dans les documents transmis en remplissant le tableau ci-après :</w:t>
      </w:r>
    </w:p>
    <w:p w:rsidR="00432F54" w:rsidRDefault="00432F54" w:rsidP="002F7DE0">
      <w:pPr>
        <w:jc w:val="both"/>
        <w:rPr>
          <w:rFonts w:asciiTheme="minorHAnsi" w:hAnsiTheme="minorHAnsi" w:cstheme="minorHAnsi"/>
          <w:sz w:val="20"/>
          <w:szCs w:val="20"/>
        </w:rPr>
      </w:pPr>
    </w:p>
    <w:p w:rsidR="00C048A6" w:rsidRPr="00C048A6" w:rsidRDefault="00C048A6" w:rsidP="00C048A6">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b/>
                <w:sz w:val="20"/>
                <w:szCs w:val="20"/>
              </w:rPr>
            </w:pPr>
            <w:r w:rsidRPr="00C048A6">
              <w:rPr>
                <w:rFonts w:asciiTheme="minorHAnsi" w:hAnsiTheme="minorHAnsi" w:cstheme="minorHAnsi"/>
                <w:b/>
                <w:sz w:val="20"/>
                <w:szCs w:val="20"/>
              </w:rPr>
              <w:t>Informations</w:t>
            </w:r>
          </w:p>
        </w:tc>
        <w:tc>
          <w:tcPr>
            <w:tcW w:w="4606" w:type="dxa"/>
            <w:shd w:val="clear" w:color="auto" w:fill="auto"/>
          </w:tcPr>
          <w:p w:rsidR="00C048A6" w:rsidRPr="00C048A6" w:rsidRDefault="00C048A6" w:rsidP="00C048A6">
            <w:pPr>
              <w:jc w:val="both"/>
              <w:rPr>
                <w:rFonts w:asciiTheme="minorHAnsi" w:hAnsiTheme="minorHAnsi" w:cstheme="minorHAnsi"/>
                <w:b/>
                <w:sz w:val="20"/>
                <w:szCs w:val="20"/>
              </w:rPr>
            </w:pPr>
            <w:r w:rsidRPr="00C048A6">
              <w:rPr>
                <w:rFonts w:asciiTheme="minorHAnsi" w:hAnsiTheme="minorHAnsi" w:cstheme="minorHAnsi"/>
                <w:b/>
                <w:sz w:val="20"/>
                <w:szCs w:val="20"/>
              </w:rPr>
              <w:t>Préciser où se situe l’information</w:t>
            </w: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a) une description de la stratégie et des objectifs d’investissement du FIA, des informations sur le lieu d’établissement de tout FIA maître au sens de la directive AIFM</w:t>
            </w:r>
            <w:r w:rsidRPr="00C048A6">
              <w:rPr>
                <w:rFonts w:asciiTheme="minorHAnsi" w:hAnsiTheme="minorHAnsi" w:cstheme="minorHAnsi"/>
                <w:sz w:val="20"/>
                <w:szCs w:val="20"/>
                <w:vertAlign w:val="superscript"/>
              </w:rPr>
              <w:footnoteReference w:id="1"/>
            </w:r>
            <w:r w:rsidRPr="00C048A6">
              <w:rPr>
                <w:rFonts w:asciiTheme="minorHAnsi" w:hAnsiTheme="minorHAnsi" w:cstheme="minorHAnsi"/>
                <w:sz w:val="20"/>
                <w:szCs w:val="20"/>
              </w:rPr>
              <w:t xml:space="preserve"> et sur le lieu d’établissement des fonds sous-jacents si le FIA est un fonds de fonds, une description des types d’actifs dans lesquels le FIA peut investir, des techniques qu’il peut employer et de tous les risques associés, des éventuelles restrictions à l’investissement applicables, des circonstances dans lesquelles le FIA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la société de gestion de portefeuille est habilitée à employer pour le compte du FIA ;</w:t>
            </w:r>
          </w:p>
          <w:p w:rsidR="00C048A6" w:rsidRPr="00C048A6" w:rsidRDefault="00C048A6" w:rsidP="00C048A6">
            <w:pPr>
              <w:jc w:val="both"/>
              <w:rPr>
                <w:rFonts w:asciiTheme="minorHAnsi" w:hAnsiTheme="minorHAnsi" w:cstheme="minorHAnsi"/>
                <w:sz w:val="20"/>
                <w:szCs w:val="20"/>
              </w:rPr>
            </w:pP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b) une description des procédures pouvant être mises en œuvre par le FIA pour changer sa stratégie d’investissement ou sa politique d’investissement, ou les deux ; </w:t>
            </w:r>
          </w:p>
          <w:p w:rsidR="00C048A6" w:rsidRPr="00C048A6" w:rsidRDefault="00C048A6" w:rsidP="00C048A6">
            <w:pPr>
              <w:jc w:val="both"/>
              <w:rPr>
                <w:rFonts w:asciiTheme="minorHAnsi" w:hAnsiTheme="minorHAnsi" w:cstheme="minorHAnsi"/>
                <w:sz w:val="20"/>
                <w:szCs w:val="20"/>
              </w:rPr>
            </w:pP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c)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où le FIA est établi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lastRenderedPageBreak/>
              <w:t xml:space="preserve">d) l’identification de la société de gestion de portefeuille, du dépositaire et du commissaire aux comptes du FIA, ainsi que de tout autre prestataire de services, et une description de leurs obligations et des droits des investisseurs ; </w:t>
            </w:r>
          </w:p>
          <w:p w:rsidR="00C048A6" w:rsidRPr="00C048A6" w:rsidRDefault="00C048A6" w:rsidP="00C048A6">
            <w:pPr>
              <w:jc w:val="both"/>
              <w:rPr>
                <w:rFonts w:asciiTheme="minorHAnsi" w:hAnsiTheme="minorHAnsi" w:cstheme="minorHAnsi"/>
                <w:sz w:val="20"/>
                <w:szCs w:val="20"/>
              </w:rPr>
            </w:pP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e) une description de la manière dont la société de gestion de portefeuille respecte les exigences énoncées à l’article 9, paragraphe 7 de la directive AIFM</w:t>
            </w:r>
            <w:r w:rsidRPr="00C048A6">
              <w:rPr>
                <w:rFonts w:asciiTheme="minorHAnsi" w:hAnsiTheme="minorHAnsi" w:cstheme="minorHAnsi"/>
                <w:sz w:val="20"/>
                <w:szCs w:val="20"/>
                <w:vertAlign w:val="superscript"/>
              </w:rPr>
              <w:footnoteReference w:id="2"/>
            </w:r>
            <w:r w:rsidRPr="00C048A6">
              <w:rPr>
                <w:rFonts w:asciiTheme="minorHAnsi" w:hAnsiTheme="minorHAnsi" w:cstheme="minorHAnsi"/>
                <w:sz w:val="20"/>
                <w:szCs w:val="20"/>
              </w:rPr>
              <w:t xml:space="preserve">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f) une description de toute fonction de gestion déléguée par la société de gestion de portefeuille et de toute fonction de garde déléguée par le dépositaire, l’identification du délégataire et tout conflit d’intérêts susceptible de découler de ces délégations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g) une description de la procédure d’évaluation du FIA et de la méthodologie de détermination du prix employée pour évaluer la valeur des actifs, y compris les méthodes employées pour les actifs difficiles à évaluer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h) une description de la gestion du risque de liquidité du FIA, en ce compris les droits au remboursement dans des circonstances à la fois normales et exceptionnelles, et les modalités existantes avec les investisseurs en matière de remboursement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i) une description de tous les frais, charges et commissions éventuels, et de leurs montants maximaux, supportés directement ou indirectement par les investisseurs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j) une description de la manière dont la société de gestion de portefeuille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 de portefeuille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k) le dernier rapport annuel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l) la procédure et les conditions d’émission et de rachat des parts ou des actions ;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m) la dernière valeur liquidative du FIA ou le dernier prix de marché de la part ou de l’action du FIA;</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n) le cas échéant, les performances passées du FIA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 xml:space="preserve">o) 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w:t>
            </w:r>
            <w:r w:rsidRPr="00C048A6">
              <w:rPr>
                <w:rFonts w:asciiTheme="minorHAnsi" w:hAnsiTheme="minorHAnsi" w:cstheme="minorHAnsi"/>
                <w:sz w:val="20"/>
                <w:szCs w:val="20"/>
              </w:rPr>
              <w:lastRenderedPageBreak/>
              <w:t xml:space="preserve">informations relatives à tout transfert de responsabilité au courtier principal qui pourrait exister; </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r w:rsidR="00C048A6" w:rsidRPr="00C048A6" w:rsidTr="006B353F">
        <w:tc>
          <w:tcPr>
            <w:tcW w:w="4606" w:type="dxa"/>
            <w:shd w:val="clear" w:color="auto" w:fill="auto"/>
          </w:tcPr>
          <w:p w:rsidR="00C048A6" w:rsidRPr="00C048A6" w:rsidRDefault="00C048A6" w:rsidP="00C048A6">
            <w:pPr>
              <w:jc w:val="both"/>
              <w:rPr>
                <w:rFonts w:asciiTheme="minorHAnsi" w:hAnsiTheme="minorHAnsi" w:cstheme="minorHAnsi"/>
                <w:sz w:val="20"/>
                <w:szCs w:val="20"/>
              </w:rPr>
            </w:pPr>
            <w:r w:rsidRPr="00C048A6">
              <w:rPr>
                <w:rFonts w:asciiTheme="minorHAnsi" w:hAnsiTheme="minorHAnsi" w:cstheme="minorHAnsi"/>
                <w:sz w:val="20"/>
                <w:szCs w:val="20"/>
              </w:rPr>
              <w:t>p) une description des modalités et des échéances de communication des informations exigées au titre des paragraphes 4 et 5 de l’article 23 de la directive AIFM</w:t>
            </w:r>
            <w:r w:rsidRPr="00C048A6">
              <w:rPr>
                <w:rFonts w:asciiTheme="minorHAnsi" w:hAnsiTheme="minorHAnsi" w:cstheme="minorHAnsi"/>
                <w:sz w:val="20"/>
                <w:szCs w:val="20"/>
                <w:vertAlign w:val="superscript"/>
              </w:rPr>
              <w:footnoteReference w:id="3"/>
            </w:r>
            <w:r w:rsidRPr="00C048A6">
              <w:rPr>
                <w:rFonts w:asciiTheme="minorHAnsi" w:hAnsiTheme="minorHAnsi" w:cstheme="minorHAnsi"/>
                <w:sz w:val="20"/>
                <w:szCs w:val="20"/>
              </w:rPr>
              <w:t>.</w:t>
            </w:r>
          </w:p>
        </w:tc>
        <w:tc>
          <w:tcPr>
            <w:tcW w:w="4606" w:type="dxa"/>
            <w:shd w:val="clear" w:color="auto" w:fill="auto"/>
          </w:tcPr>
          <w:p w:rsidR="00C048A6" w:rsidRPr="00C048A6" w:rsidRDefault="00C048A6" w:rsidP="00C048A6">
            <w:pPr>
              <w:jc w:val="both"/>
              <w:rPr>
                <w:rFonts w:asciiTheme="minorHAnsi" w:hAnsiTheme="minorHAnsi" w:cstheme="minorHAnsi"/>
                <w:sz w:val="20"/>
                <w:szCs w:val="20"/>
              </w:rPr>
            </w:pPr>
          </w:p>
        </w:tc>
      </w:tr>
    </w:tbl>
    <w:p w:rsidR="00C048A6" w:rsidRPr="00C048A6" w:rsidRDefault="00C048A6" w:rsidP="00C048A6">
      <w:pPr>
        <w:jc w:val="both"/>
        <w:rPr>
          <w:rFonts w:asciiTheme="minorHAnsi" w:hAnsiTheme="minorHAnsi" w:cstheme="minorHAnsi"/>
          <w:sz w:val="20"/>
          <w:szCs w:val="20"/>
        </w:rPr>
      </w:pPr>
    </w:p>
    <w:p w:rsidR="00432F54" w:rsidRDefault="00432F54" w:rsidP="002F7DE0">
      <w:pPr>
        <w:jc w:val="both"/>
        <w:rPr>
          <w:rFonts w:asciiTheme="minorHAnsi" w:hAnsiTheme="minorHAnsi" w:cstheme="minorHAnsi"/>
          <w:sz w:val="20"/>
          <w:szCs w:val="20"/>
        </w:rPr>
      </w:pPr>
    </w:p>
    <w:p w:rsidR="00C048A6" w:rsidRDefault="00C048A6"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p w:rsidR="00922AD8" w:rsidRPr="002F7DE0" w:rsidRDefault="00922AD8" w:rsidP="002F7DE0">
      <w:pPr>
        <w:jc w:val="both"/>
        <w:rPr>
          <w:rFonts w:asciiTheme="minorHAnsi" w:hAnsiTheme="minorHAnsi" w:cstheme="minorHAnsi"/>
          <w:sz w:val="20"/>
          <w:szCs w:val="20"/>
        </w:rPr>
      </w:pPr>
    </w:p>
    <w:sectPr w:rsidR="00922AD8" w:rsidRPr="002F7DE0"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30" w:rsidRDefault="003B5230">
      <w:r>
        <w:separator/>
      </w:r>
    </w:p>
  </w:endnote>
  <w:endnote w:type="continuationSeparator" w:id="0">
    <w:p w:rsidR="003B5230" w:rsidRDefault="003B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287178"/>
      <w:docPartObj>
        <w:docPartGallery w:val="Page Numbers (Bottom of Page)"/>
        <w:docPartUnique/>
      </w:docPartObj>
    </w:sdtPr>
    <w:sdtEndPr/>
    <w:sdtContent>
      <w:p w:rsidR="00191736" w:rsidRDefault="00191736">
        <w:pPr>
          <w:pStyle w:val="Pieddepage"/>
          <w:jc w:val="right"/>
        </w:pPr>
        <w:r w:rsidRPr="00191736">
          <w:rPr>
            <w:rFonts w:asciiTheme="minorHAnsi" w:hAnsiTheme="minorHAnsi" w:cstheme="minorHAnsi"/>
            <w:sz w:val="16"/>
            <w:szCs w:val="16"/>
          </w:rPr>
          <w:fldChar w:fldCharType="begin"/>
        </w:r>
        <w:r w:rsidRPr="00191736">
          <w:rPr>
            <w:rFonts w:asciiTheme="minorHAnsi" w:hAnsiTheme="minorHAnsi" w:cstheme="minorHAnsi"/>
            <w:sz w:val="16"/>
            <w:szCs w:val="16"/>
          </w:rPr>
          <w:instrText>PAGE   \* MERGEFORMAT</w:instrText>
        </w:r>
        <w:r w:rsidRPr="00191736">
          <w:rPr>
            <w:rFonts w:asciiTheme="minorHAnsi" w:hAnsiTheme="minorHAnsi" w:cstheme="minorHAnsi"/>
            <w:sz w:val="16"/>
            <w:szCs w:val="16"/>
          </w:rPr>
          <w:fldChar w:fldCharType="separate"/>
        </w:r>
        <w:r w:rsidR="000D1B66">
          <w:rPr>
            <w:rFonts w:asciiTheme="minorHAnsi" w:hAnsiTheme="minorHAnsi" w:cstheme="minorHAnsi"/>
            <w:noProof/>
            <w:sz w:val="16"/>
            <w:szCs w:val="16"/>
          </w:rPr>
          <w:t>4</w:t>
        </w:r>
        <w:r w:rsidRPr="00191736">
          <w:rPr>
            <w:rFonts w:asciiTheme="minorHAnsi" w:hAnsiTheme="minorHAnsi" w:cstheme="minorHAnsi"/>
            <w:sz w:val="16"/>
            <w:szCs w:val="16"/>
          </w:rPr>
          <w:fldChar w:fldCharType="end"/>
        </w:r>
        <w:r>
          <w:rPr>
            <w:rFonts w:asciiTheme="minorHAnsi" w:hAnsiTheme="minorHAnsi" w:cstheme="minorHAnsi"/>
            <w:sz w:val="16"/>
            <w:szCs w:val="16"/>
          </w:rPr>
          <w:t>/4</w:t>
        </w:r>
      </w:p>
    </w:sdtContent>
  </w:sdt>
  <w:p w:rsidR="00191736" w:rsidRDefault="001917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36261"/>
      <w:docPartObj>
        <w:docPartGallery w:val="Page Numbers (Bottom of Page)"/>
        <w:docPartUnique/>
      </w:docPartObj>
    </w:sdtPr>
    <w:sdtEndPr>
      <w:rPr>
        <w:rFonts w:asciiTheme="minorHAnsi" w:hAnsiTheme="minorHAnsi" w:cstheme="minorHAnsi"/>
        <w:sz w:val="16"/>
        <w:szCs w:val="16"/>
      </w:rPr>
    </w:sdtEndPr>
    <w:sdtContent>
      <w:p w:rsidR="00191736" w:rsidRDefault="00191736">
        <w:pPr>
          <w:pStyle w:val="Pieddepage"/>
          <w:jc w:val="right"/>
        </w:pPr>
        <w:r w:rsidRPr="00191736">
          <w:rPr>
            <w:rFonts w:asciiTheme="minorHAnsi" w:hAnsiTheme="minorHAnsi" w:cstheme="minorHAnsi"/>
            <w:sz w:val="16"/>
            <w:szCs w:val="16"/>
          </w:rPr>
          <w:fldChar w:fldCharType="begin"/>
        </w:r>
        <w:r w:rsidRPr="00191736">
          <w:rPr>
            <w:rFonts w:asciiTheme="minorHAnsi" w:hAnsiTheme="minorHAnsi" w:cstheme="minorHAnsi"/>
            <w:sz w:val="16"/>
            <w:szCs w:val="16"/>
          </w:rPr>
          <w:instrText>PAGE   \* MERGEFORMAT</w:instrText>
        </w:r>
        <w:r w:rsidRPr="00191736">
          <w:rPr>
            <w:rFonts w:asciiTheme="minorHAnsi" w:hAnsiTheme="minorHAnsi" w:cstheme="minorHAnsi"/>
            <w:sz w:val="16"/>
            <w:szCs w:val="16"/>
          </w:rPr>
          <w:fldChar w:fldCharType="separate"/>
        </w:r>
        <w:r w:rsidR="000D1B66">
          <w:rPr>
            <w:rFonts w:asciiTheme="minorHAnsi" w:hAnsiTheme="minorHAnsi" w:cstheme="minorHAnsi"/>
            <w:noProof/>
            <w:sz w:val="16"/>
            <w:szCs w:val="16"/>
          </w:rPr>
          <w:t>1</w:t>
        </w:r>
        <w:r w:rsidRPr="00191736">
          <w:rPr>
            <w:rFonts w:asciiTheme="minorHAnsi" w:hAnsiTheme="minorHAnsi" w:cstheme="minorHAnsi"/>
            <w:sz w:val="16"/>
            <w:szCs w:val="16"/>
          </w:rPr>
          <w:fldChar w:fldCharType="end"/>
        </w:r>
        <w:r>
          <w:rPr>
            <w:rFonts w:asciiTheme="minorHAnsi" w:hAnsiTheme="minorHAnsi" w:cstheme="minorHAnsi"/>
            <w:sz w:val="16"/>
            <w:szCs w:val="16"/>
          </w:rPr>
          <w:t>/4</w:t>
        </w:r>
      </w:p>
    </w:sdtContent>
  </w:sdt>
  <w:p w:rsidR="00191736" w:rsidRDefault="00191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30" w:rsidRDefault="003B5230">
      <w:r>
        <w:separator/>
      </w:r>
    </w:p>
  </w:footnote>
  <w:footnote w:type="continuationSeparator" w:id="0">
    <w:p w:rsidR="003B5230" w:rsidRDefault="003B5230">
      <w:r>
        <w:continuationSeparator/>
      </w:r>
    </w:p>
  </w:footnote>
  <w:footnote w:id="1">
    <w:p w:rsidR="00C048A6" w:rsidRPr="00A32BA4" w:rsidRDefault="00C048A6" w:rsidP="00C048A6">
      <w:r w:rsidRPr="00C048A6">
        <w:rPr>
          <w:rFonts w:asciiTheme="minorHAnsi" w:hAnsiTheme="minorHAnsi" w:cstheme="minorHAnsi"/>
          <w:i/>
          <w:sz w:val="16"/>
          <w:szCs w:val="16"/>
          <w:vertAlign w:val="superscript"/>
        </w:rPr>
        <w:footnoteRef/>
      </w:r>
      <w:r w:rsidRPr="00C048A6">
        <w:rPr>
          <w:rFonts w:asciiTheme="minorHAnsi" w:hAnsiTheme="minorHAnsi" w:cstheme="minorHAnsi"/>
          <w:i/>
          <w:sz w:val="16"/>
          <w:szCs w:val="16"/>
        </w:rPr>
        <w:t xml:space="preserve"> Cette définition est transposée en droit français à l’article L. 214-24 IV du code monétaire et financier.</w:t>
      </w:r>
    </w:p>
  </w:footnote>
  <w:footnote w:id="2">
    <w:p w:rsidR="00C048A6" w:rsidRPr="00A32BA4" w:rsidRDefault="00C048A6" w:rsidP="00C048A6">
      <w:r w:rsidRPr="00C048A6">
        <w:rPr>
          <w:rFonts w:asciiTheme="minorHAnsi" w:hAnsiTheme="minorHAnsi" w:cstheme="minorHAnsi"/>
          <w:i/>
          <w:sz w:val="16"/>
          <w:szCs w:val="16"/>
          <w:vertAlign w:val="superscript"/>
        </w:rPr>
        <w:footnoteRef/>
      </w:r>
      <w:r w:rsidRPr="00C048A6">
        <w:rPr>
          <w:rFonts w:asciiTheme="minorHAnsi" w:hAnsiTheme="minorHAnsi" w:cstheme="minorHAnsi"/>
          <w:i/>
          <w:sz w:val="16"/>
          <w:szCs w:val="16"/>
        </w:rPr>
        <w:t xml:space="preserve"> Transposé en droit français au IV de l’article 317-2 du règlement général de l’AMF.</w:t>
      </w:r>
    </w:p>
  </w:footnote>
  <w:footnote w:id="3">
    <w:p w:rsidR="00C048A6" w:rsidRPr="00A32BA4" w:rsidRDefault="00C048A6" w:rsidP="00C048A6">
      <w:r w:rsidRPr="00C048A6">
        <w:rPr>
          <w:rFonts w:asciiTheme="minorHAnsi" w:hAnsiTheme="minorHAnsi" w:cstheme="minorHAnsi"/>
          <w:i/>
          <w:sz w:val="16"/>
          <w:szCs w:val="16"/>
          <w:vertAlign w:val="superscript"/>
        </w:rPr>
        <w:footnoteRef/>
      </w:r>
      <w:r w:rsidRPr="00C048A6">
        <w:rPr>
          <w:rFonts w:asciiTheme="minorHAnsi" w:hAnsiTheme="minorHAnsi" w:cstheme="minorHAnsi"/>
          <w:i/>
          <w:sz w:val="16"/>
          <w:szCs w:val="16"/>
          <w:vertAlign w:val="superscript"/>
        </w:rPr>
        <w:t xml:space="preserve"> </w:t>
      </w:r>
      <w:r w:rsidRPr="00C048A6">
        <w:rPr>
          <w:rFonts w:asciiTheme="minorHAnsi" w:hAnsiTheme="minorHAnsi" w:cstheme="minorHAnsi"/>
          <w:i/>
          <w:sz w:val="16"/>
          <w:szCs w:val="16"/>
        </w:rPr>
        <w:t>Transposés en droit français aux IV et V de l’article 421-34 du règlement général de l’AMF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EF7838">
    <w:pPr>
      <w:pStyle w:val="En-tte"/>
      <w:rPr>
        <w:rFonts w:asciiTheme="minorHAnsi" w:hAnsiTheme="minorHAnsi" w:cstheme="minorHAnsi"/>
        <w:sz w:val="18"/>
        <w:szCs w:val="18"/>
      </w:rPr>
    </w:pPr>
    <w:r w:rsidRPr="00EF7838">
      <w:rPr>
        <w:rFonts w:asciiTheme="minorHAnsi" w:hAnsiTheme="minorHAnsi" w:cstheme="minorHAnsi"/>
        <w:sz w:val="18"/>
        <w:szCs w:val="18"/>
      </w:rPr>
      <w:t>D</w:t>
    </w:r>
    <w:r>
      <w:rPr>
        <w:rFonts w:asciiTheme="minorHAnsi" w:hAnsiTheme="minorHAnsi" w:cstheme="minorHAnsi"/>
        <w:sz w:val="18"/>
        <w:szCs w:val="18"/>
      </w:rPr>
      <w:t>ossier de notification de commercialisation en France de parts ou actions de FIA de l’Union Européenne (y compris français</w:t>
    </w:r>
    <w:r w:rsidRPr="00EF7838">
      <w:rPr>
        <w:rFonts w:asciiTheme="minorHAnsi" w:hAnsiTheme="minorHAnsi" w:cstheme="minorHAnsi"/>
        <w:sz w:val="18"/>
        <w:szCs w:val="18"/>
      </w:rPr>
      <w:t xml:space="preserve">) </w:t>
    </w:r>
    <w:r>
      <w:rPr>
        <w:rFonts w:asciiTheme="minorHAnsi" w:hAnsiTheme="minorHAnsi" w:cstheme="minorHAnsi"/>
        <w:sz w:val="18"/>
        <w:szCs w:val="18"/>
      </w:rPr>
      <w:t>géré par une société de gestion de portefeuille agréée en France</w:t>
    </w:r>
    <w:r w:rsidRPr="00EF7838">
      <w:rPr>
        <w:rFonts w:asciiTheme="minorHAnsi" w:hAnsiTheme="minorHAnsi" w:cstheme="minorHAnsi"/>
        <w:sz w:val="18"/>
        <w:szCs w:val="18"/>
      </w:rPr>
      <w:t xml:space="preserve"> </w:t>
    </w:r>
    <w:r>
      <w:rPr>
        <w:rFonts w:asciiTheme="minorHAnsi" w:hAnsiTheme="minorHAnsi" w:cstheme="minorHAnsi"/>
        <w:sz w:val="18"/>
        <w:szCs w:val="18"/>
      </w:rPr>
      <w:t>– Annexe 1 de l’instruction AMF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27.9pt;height:27.9pt" o:bullet="t">
        <v:imagedata r:id="rId1" o:title="Flêche_AMF_blc"/>
      </v:shape>
    </w:pict>
  </w:numPicBullet>
  <w:numPicBullet w:numPicBulletId="1">
    <w:pict>
      <v:shape id="_x0000_i1197" type="#_x0000_t75" style="width:2.5pt;height:2.5pt" o:bullet="t">
        <v:imagedata r:id="rId2" o:title="Fleche_prune copie"/>
      </v:shape>
    </w:pict>
  </w:numPicBullet>
  <w:numPicBullet w:numPicBulletId="2">
    <w:pict>
      <v:shape id="_x0000_i1198" type="#_x0000_t75" style="width:27.9pt;height:27.9pt" o:bullet="t">
        <v:imagedata r:id="rId3" o:title="Fleche_jaune"/>
      </v:shape>
    </w:pict>
  </w:numPicBullet>
  <w:numPicBullet w:numPicBulletId="3">
    <w:pict>
      <v:shape id="_x0000_i1199" type="#_x0000_t75" style="width:27.9pt;height:27.9pt" o:bullet="t">
        <v:imagedata r:id="rId4" o:title="Fleche_aubergine"/>
      </v:shape>
    </w:pict>
  </w:numPicBullet>
  <w:numPicBullet w:numPicBulletId="4">
    <w:pict>
      <v:shape id="_x0000_i120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4F6B"/>
    <w:multiLevelType w:val="multilevel"/>
    <w:tmpl w:val="D46E37EE"/>
    <w:lvl w:ilvl="0">
      <w:start w:val="1"/>
      <w:numFmt w:val="decimal"/>
      <w:lvlText w:val="%1."/>
      <w:lvlJc w:val="left"/>
      <w:pPr>
        <w:tabs>
          <w:tab w:val="num" w:pos="643"/>
        </w:tabs>
        <w:ind w:left="643" w:hanging="360"/>
      </w:pPr>
    </w:lvl>
    <w:lvl w:ilvl="1">
      <w:start w:val="1"/>
      <w:numFmt w:val="decimal"/>
      <w:lvlText w:val="%1.%2."/>
      <w:lvlJc w:val="left"/>
      <w:pPr>
        <w:tabs>
          <w:tab w:val="num" w:pos="1363"/>
        </w:tabs>
        <w:ind w:left="1075" w:hanging="432"/>
      </w:pPr>
    </w:lvl>
    <w:lvl w:ilvl="2">
      <w:start w:val="1"/>
      <w:numFmt w:val="decimal"/>
      <w:lvlText w:val="%1.%2.%3."/>
      <w:lvlJc w:val="left"/>
      <w:pPr>
        <w:tabs>
          <w:tab w:val="num" w:pos="208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3163"/>
        </w:tabs>
        <w:ind w:left="2515" w:hanging="792"/>
      </w:pPr>
    </w:lvl>
    <w:lvl w:ilvl="5">
      <w:start w:val="1"/>
      <w:numFmt w:val="decimal"/>
      <w:lvlText w:val="%1.%2.%3.%4.%5.%6."/>
      <w:lvlJc w:val="left"/>
      <w:pPr>
        <w:tabs>
          <w:tab w:val="num" w:pos="388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963"/>
        </w:tabs>
        <w:ind w:left="4027" w:hanging="1224"/>
      </w:pPr>
    </w:lvl>
    <w:lvl w:ilvl="8">
      <w:start w:val="1"/>
      <w:numFmt w:val="decimal"/>
      <w:lvlText w:val="%1.%2.%3.%4.%5.%6.%7.%8.%9."/>
      <w:lvlJc w:val="left"/>
      <w:pPr>
        <w:tabs>
          <w:tab w:val="num" w:pos="5683"/>
        </w:tabs>
        <w:ind w:left="4603" w:hanging="1440"/>
      </w:p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2"/>
  </w:num>
  <w:num w:numId="5">
    <w:abstractNumId w:val="35"/>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1"/>
  </w:num>
  <w:num w:numId="25">
    <w:abstractNumId w:val="28"/>
  </w:num>
  <w:num w:numId="26">
    <w:abstractNumId w:val="34"/>
  </w:num>
  <w:num w:numId="27">
    <w:abstractNumId w:val="21"/>
  </w:num>
  <w:num w:numId="28">
    <w:abstractNumId w:val="16"/>
  </w:num>
  <w:num w:numId="29">
    <w:abstractNumId w:val="23"/>
    <w:lvlOverride w:ilvl="0">
      <w:startOverride w:val="1"/>
    </w:lvlOverride>
  </w:num>
  <w:num w:numId="30">
    <w:abstractNumId w:val="13"/>
  </w:num>
  <w:num w:numId="31">
    <w:abstractNumId w:val="33"/>
  </w:num>
  <w:num w:numId="32">
    <w:abstractNumId w:val="25"/>
  </w:num>
  <w:num w:numId="33">
    <w:abstractNumId w:val="29"/>
  </w:num>
  <w:num w:numId="34">
    <w:abstractNumId w:val="17"/>
  </w:num>
  <w:num w:numId="35">
    <w:abstractNumId w:val="30"/>
  </w:num>
  <w:num w:numId="36">
    <w:abstractNumId w:val="22"/>
  </w:num>
  <w:num w:numId="37">
    <w:abstractNumId w:val="20"/>
  </w:num>
  <w:num w:numId="38">
    <w:abstractNumId w:val="36"/>
  </w:num>
  <w:num w:numId="39">
    <w:abstractNumId w:val="24"/>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D1B66"/>
    <w:rsid w:val="000F3F43"/>
    <w:rsid w:val="00105E07"/>
    <w:rsid w:val="0013025C"/>
    <w:rsid w:val="00133FF8"/>
    <w:rsid w:val="00191736"/>
    <w:rsid w:val="001D7C5F"/>
    <w:rsid w:val="0023233D"/>
    <w:rsid w:val="002434A6"/>
    <w:rsid w:val="002F705A"/>
    <w:rsid w:val="002F7DE0"/>
    <w:rsid w:val="00365120"/>
    <w:rsid w:val="003B0015"/>
    <w:rsid w:val="003B5230"/>
    <w:rsid w:val="00432F54"/>
    <w:rsid w:val="00460571"/>
    <w:rsid w:val="005009B5"/>
    <w:rsid w:val="00511597"/>
    <w:rsid w:val="00552D57"/>
    <w:rsid w:val="00593EDE"/>
    <w:rsid w:val="005C1100"/>
    <w:rsid w:val="005C6282"/>
    <w:rsid w:val="00620583"/>
    <w:rsid w:val="0066464A"/>
    <w:rsid w:val="00684FDF"/>
    <w:rsid w:val="006C4987"/>
    <w:rsid w:val="006E6631"/>
    <w:rsid w:val="007211C5"/>
    <w:rsid w:val="0075127A"/>
    <w:rsid w:val="007759C7"/>
    <w:rsid w:val="007C2CD0"/>
    <w:rsid w:val="008044F9"/>
    <w:rsid w:val="00826BA0"/>
    <w:rsid w:val="00835FC9"/>
    <w:rsid w:val="00894E3F"/>
    <w:rsid w:val="008A64B6"/>
    <w:rsid w:val="008B2E32"/>
    <w:rsid w:val="00922AD8"/>
    <w:rsid w:val="009522A4"/>
    <w:rsid w:val="0097706F"/>
    <w:rsid w:val="009D35DA"/>
    <w:rsid w:val="00A375FC"/>
    <w:rsid w:val="00A52761"/>
    <w:rsid w:val="00AC2B18"/>
    <w:rsid w:val="00AF529B"/>
    <w:rsid w:val="00C048A6"/>
    <w:rsid w:val="00C109BF"/>
    <w:rsid w:val="00C831C5"/>
    <w:rsid w:val="00C96044"/>
    <w:rsid w:val="00CF285A"/>
    <w:rsid w:val="00D52CFD"/>
    <w:rsid w:val="00D55321"/>
    <w:rsid w:val="00D80A91"/>
    <w:rsid w:val="00E049BB"/>
    <w:rsid w:val="00E1204F"/>
    <w:rsid w:val="00E46668"/>
    <w:rsid w:val="00E66D10"/>
    <w:rsid w:val="00E74AAB"/>
    <w:rsid w:val="00EF78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A6EE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1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1198</Words>
  <Characters>6592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13</cp:revision>
  <cp:lastPrinted>2010-11-05T13:58:00Z</cp:lastPrinted>
  <dcterms:created xsi:type="dcterms:W3CDTF">2021-07-12T08:27:00Z</dcterms:created>
  <dcterms:modified xsi:type="dcterms:W3CDTF">2021-07-23T13:21:00Z</dcterms:modified>
</cp:coreProperties>
</file>