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3F1091" w:rsidRDefault="009F4493" w:rsidP="003F1091">
      <w:pPr>
        <w:pStyle w:val="AMFTitre"/>
        <w:ind w:left="0"/>
        <w:jc w:val="both"/>
        <w:rPr>
          <w:sz w:val="24"/>
          <w:szCs w:val="24"/>
        </w:rPr>
      </w:pPr>
      <w:r w:rsidRPr="009F4493">
        <w:rPr>
          <w:sz w:val="24"/>
          <w:szCs w:val="24"/>
        </w:rPr>
        <w:t xml:space="preserve">Notification letter to be completed prior to marketing units or shares of a European Union AIF managed by an asset management company authorised in France in a European Member State other than France </w:t>
      </w:r>
      <w:r w:rsidR="00E1204F" w:rsidRPr="003F109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Pr="003F1091" w:rsidRDefault="009F4493" w:rsidP="00F56AE2">
      <w:pPr>
        <w:pStyle w:val="AMFDate"/>
        <w:ind w:left="0"/>
        <w:jc w:val="both"/>
        <w:rPr>
          <w:rFonts w:asciiTheme="minorHAnsi" w:hAnsiTheme="minorHAnsi" w:cstheme="minorHAnsi"/>
          <w:b w:val="0"/>
        </w:rPr>
      </w:pPr>
      <w:r w:rsidRPr="009F4493">
        <w:rPr>
          <w:rFonts w:asciiTheme="minorHAnsi" w:hAnsiTheme="minorHAnsi" w:cstheme="minorHAnsi"/>
          <w:b w:val="0"/>
          <w:lang w:val="en-GB"/>
        </w:rPr>
        <w:t>This document is Annex 2-1 to AMF Instruction - DOC-2014-03 – Marketing procedure for units or shares of AIFs</w:t>
      </w:r>
    </w:p>
    <w:p w:rsidR="003F1091" w:rsidRDefault="003F1091" w:rsidP="00684FDF">
      <w:pPr>
        <w:pStyle w:val="AMFDate"/>
        <w:ind w:left="0"/>
        <w:jc w:val="left"/>
        <w:rPr>
          <w:rFonts w:asciiTheme="minorHAnsi" w:hAnsiTheme="minorHAnsi" w:cstheme="minorHAnsi"/>
        </w:rPr>
      </w:pPr>
    </w:p>
    <w:p w:rsidR="003F1091" w:rsidRDefault="003F1091" w:rsidP="00684FDF">
      <w:pPr>
        <w:pStyle w:val="AMFDate"/>
        <w:ind w:left="0"/>
        <w:jc w:val="left"/>
        <w:rPr>
          <w:rFonts w:asciiTheme="minorHAnsi" w:hAnsiTheme="minorHAnsi" w:cstheme="minorHAnsi"/>
        </w:rPr>
      </w:pPr>
    </w:p>
    <w:p w:rsidR="0023161B" w:rsidRPr="007A03C0" w:rsidRDefault="0023161B" w:rsidP="0023161B">
      <w:pPr>
        <w:pStyle w:val="AMFDoctrineEncadr"/>
        <w:spacing w:line="240" w:lineRule="auto"/>
      </w:pPr>
      <w:r w:rsidRPr="007A03C0">
        <w:t xml:space="preserve">This document has not been </w:t>
      </w:r>
      <w:proofErr w:type="spellStart"/>
      <w:r w:rsidRPr="007A03C0">
        <w:t>updated</w:t>
      </w:r>
      <w:proofErr w:type="spellEnd"/>
      <w:r w:rsidRPr="007A03C0">
        <w:t xml:space="preserve"> </w:t>
      </w:r>
      <w:proofErr w:type="spellStart"/>
      <w:r w:rsidRPr="007A03C0">
        <w:t>following</w:t>
      </w:r>
      <w:proofErr w:type="spellEnd"/>
      <w:r w:rsidRPr="007A03C0">
        <w:t xml:space="preserve"> the </w:t>
      </w:r>
      <w:proofErr w:type="spellStart"/>
      <w:r w:rsidRPr="007A03C0">
        <w:t>tranposition</w:t>
      </w:r>
      <w:proofErr w:type="spellEnd"/>
      <w:r w:rsidRPr="007A03C0">
        <w:t xml:space="preserve"> of Directive (EU) 2019/1160 of the </w:t>
      </w:r>
      <w:proofErr w:type="spellStart"/>
      <w:r w:rsidRPr="007A03C0">
        <w:t>european</w:t>
      </w:r>
      <w:proofErr w:type="spellEnd"/>
      <w:r w:rsidRPr="007A03C0">
        <w:t xml:space="preserve"> </w:t>
      </w:r>
      <w:proofErr w:type="spellStart"/>
      <w:r w:rsidRPr="007A03C0">
        <w:t>Parliament</w:t>
      </w:r>
      <w:proofErr w:type="spellEnd"/>
      <w:r w:rsidRPr="007A03C0">
        <w:t xml:space="preserve"> and of the Council of 20 </w:t>
      </w:r>
      <w:proofErr w:type="spellStart"/>
      <w:r w:rsidRPr="007A03C0">
        <w:t>June</w:t>
      </w:r>
      <w:proofErr w:type="spellEnd"/>
      <w:r w:rsidRPr="007A03C0">
        <w:t xml:space="preserve"> 2019. </w:t>
      </w:r>
    </w:p>
    <w:p w:rsidR="0023161B" w:rsidRPr="007A03C0" w:rsidRDefault="0023161B" w:rsidP="0023161B">
      <w:pPr>
        <w:pStyle w:val="AMFDoctrineEncadr"/>
        <w:spacing w:line="240" w:lineRule="auto"/>
      </w:pPr>
      <w:r w:rsidRPr="007A03C0">
        <w:t xml:space="preserve">An update </w:t>
      </w:r>
      <w:proofErr w:type="spellStart"/>
      <w:r w:rsidRPr="007A03C0">
        <w:t>should</w:t>
      </w:r>
      <w:proofErr w:type="spellEnd"/>
      <w:r w:rsidRPr="007A03C0">
        <w:t xml:space="preserve"> </w:t>
      </w:r>
      <w:proofErr w:type="spellStart"/>
      <w:r w:rsidRPr="007A03C0">
        <w:t>follow</w:t>
      </w:r>
      <w:proofErr w:type="spellEnd"/>
      <w:r w:rsidRPr="007A03C0">
        <w:t xml:space="preserve"> </w:t>
      </w:r>
      <w:proofErr w:type="spellStart"/>
      <w:r w:rsidRPr="007A03C0">
        <w:t>shortly</w:t>
      </w:r>
      <w:proofErr w:type="spellEnd"/>
      <w:r w:rsidRPr="007A03C0">
        <w:t>.</w:t>
      </w:r>
    </w:p>
    <w:p w:rsidR="0023161B" w:rsidRPr="00E126BF" w:rsidRDefault="0023161B" w:rsidP="0023161B">
      <w:pPr>
        <w:pStyle w:val="AMFDoctrineEncadr"/>
        <w:spacing w:line="240" w:lineRule="auto"/>
      </w:pPr>
      <w:proofErr w:type="spellStart"/>
      <w:r w:rsidRPr="007A03C0">
        <w:t>Meanwhile</w:t>
      </w:r>
      <w:proofErr w:type="spellEnd"/>
      <w:r w:rsidRPr="007A03C0">
        <w:t xml:space="preserve"> </w:t>
      </w:r>
      <w:proofErr w:type="spellStart"/>
      <w:r w:rsidRPr="007A03C0">
        <w:t>it</w:t>
      </w:r>
      <w:proofErr w:type="spellEnd"/>
      <w:r w:rsidRPr="007A03C0">
        <w:t xml:space="preserve"> </w:t>
      </w:r>
      <w:proofErr w:type="spellStart"/>
      <w:r w:rsidRPr="007A03C0">
        <w:t>is</w:t>
      </w:r>
      <w:proofErr w:type="spellEnd"/>
      <w:r w:rsidRPr="007A03C0">
        <w:t xml:space="preserve"> </w:t>
      </w:r>
      <w:proofErr w:type="spellStart"/>
      <w:r w:rsidRPr="007A03C0">
        <w:t>reminded</w:t>
      </w:r>
      <w:proofErr w:type="spellEnd"/>
      <w:r w:rsidRPr="007A03C0">
        <w:t xml:space="preserve"> </w:t>
      </w:r>
      <w:proofErr w:type="spellStart"/>
      <w:r w:rsidRPr="007A03C0">
        <w:t>that</w:t>
      </w:r>
      <w:proofErr w:type="spellEnd"/>
      <w:r w:rsidRPr="007A03C0">
        <w:t xml:space="preserve"> the notification </w:t>
      </w:r>
      <w:proofErr w:type="spellStart"/>
      <w:r w:rsidRPr="007A03C0">
        <w:t>letter</w:t>
      </w:r>
      <w:proofErr w:type="spellEnd"/>
      <w:r w:rsidRPr="007A03C0">
        <w:t xml:space="preserve"> </w:t>
      </w:r>
      <w:proofErr w:type="spellStart"/>
      <w:r w:rsidRPr="007A03C0">
        <w:t>should</w:t>
      </w:r>
      <w:proofErr w:type="spellEnd"/>
      <w:r w:rsidRPr="007A03C0">
        <w:t xml:space="preserve"> </w:t>
      </w:r>
      <w:proofErr w:type="spellStart"/>
      <w:r w:rsidRPr="007A03C0">
        <w:t>provide</w:t>
      </w:r>
      <w:proofErr w:type="spellEnd"/>
      <w:r w:rsidRPr="007A03C0">
        <w:t xml:space="preserve"> the d</w:t>
      </w:r>
      <w:proofErr w:type="spellStart"/>
      <w:r w:rsidRPr="007A03C0">
        <w:rPr>
          <w:lang w:val="en-US"/>
        </w:rPr>
        <w:t>etails</w:t>
      </w:r>
      <w:proofErr w:type="spellEnd"/>
      <w:r w:rsidRPr="007A03C0">
        <w:rPr>
          <w:lang w:val="en-US"/>
        </w:rPr>
        <w:t xml:space="preserve"> necessary, including the address, for the invoicing or for the communication of any applicable regulatory fees or charges by the competent authorities and the information on the facilities for performing the tasks referred to in article 421-1</w:t>
      </w:r>
      <w:r>
        <w:rPr>
          <w:lang w:val="en-US"/>
        </w:rPr>
        <w:t>4</w:t>
      </w:r>
      <w:r w:rsidRPr="007A03C0">
        <w:rPr>
          <w:lang w:val="en-US"/>
        </w:rPr>
        <w:t xml:space="preserve"> of the AMFs General Regulation, when the FIA is marketed to non-professional clients.</w:t>
      </w:r>
    </w:p>
    <w:p w:rsidR="005C6282" w:rsidRPr="00091B62" w:rsidRDefault="005C6282" w:rsidP="00091B62">
      <w:pPr>
        <w:jc w:val="both"/>
        <w:rPr>
          <w:rFonts w:asciiTheme="minorHAnsi" w:hAnsiTheme="minorHAnsi" w:cstheme="minorHAnsi"/>
          <w:sz w:val="20"/>
          <w:szCs w:val="20"/>
        </w:rPr>
      </w:pPr>
    </w:p>
    <w:p w:rsidR="00091B62" w:rsidRPr="00091B62" w:rsidRDefault="00091B62" w:rsidP="00091B62">
      <w:pPr>
        <w:jc w:val="both"/>
        <w:rPr>
          <w:rFonts w:asciiTheme="minorHAnsi" w:hAnsiTheme="minorHAnsi" w:cstheme="minorHAnsi"/>
          <w:sz w:val="20"/>
          <w:szCs w:val="20"/>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NOTIFICATION OF INTENTION TO MARKET UNITS OR SHARES OF AN AIF or AIFs OF THE SAME AIFM IN A MEMBER STATE OTHER THAN THE HOME MEMBER STATE OF THE AIFM</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The information provided in this notification letter should not be ambiguous</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Are you notifying amendments to information already provided in an initial notification?   </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Yes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8A20F0">
        <w:rPr>
          <w:rFonts w:asciiTheme="minorHAnsi" w:hAnsiTheme="minorHAnsi" w:cstheme="minorHAnsi"/>
          <w:b/>
          <w:sz w:val="20"/>
          <w:szCs w:val="20"/>
        </w:rPr>
      </w:r>
      <w:r w:rsidR="008A20F0">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r w:rsidRPr="00091B62">
        <w:rPr>
          <w:rFonts w:asciiTheme="minorHAnsi" w:hAnsiTheme="minorHAnsi" w:cstheme="minorHAnsi"/>
          <w:sz w:val="20"/>
          <w:szCs w:val="20"/>
          <w:lang w:val="en-US"/>
        </w:rPr>
        <w:t xml:space="preserve">    No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8A20F0">
        <w:rPr>
          <w:rFonts w:asciiTheme="minorHAnsi" w:hAnsiTheme="minorHAnsi" w:cstheme="minorHAnsi"/>
          <w:b/>
          <w:sz w:val="20"/>
          <w:szCs w:val="20"/>
        </w:rPr>
      </w:r>
      <w:r w:rsidR="008A20F0">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AIFM </w:t>
      </w:r>
      <w:proofErr w:type="gramStart"/>
      <w:r w:rsidRPr="00091B62">
        <w:rPr>
          <w:rFonts w:asciiTheme="minorHAnsi" w:hAnsiTheme="minorHAnsi" w:cstheme="minorHAnsi"/>
          <w:sz w:val="20"/>
          <w:szCs w:val="20"/>
          <w:lang w:val="en-US"/>
        </w:rPr>
        <w:t>name :</w:t>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proofErr w:type="gramEnd"/>
      <w:r w:rsidRPr="00091B62">
        <w:rPr>
          <w:rFonts w:asciiTheme="minorHAnsi" w:hAnsiTheme="minorHAnsi" w:cstheme="minorHAnsi"/>
          <w:sz w:val="20"/>
          <w:szCs w:val="20"/>
          <w:lang w:val="en-US"/>
        </w:rPr>
        <w:t xml:space="preserve"> </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Contact details at the AIFM (registered address of the AIFM):</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Member State in which the AIFM intends to market the units or shares of the AIF to professional investors:</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Does the AIF(s) have compartments?  Yes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8A20F0">
        <w:rPr>
          <w:rFonts w:asciiTheme="minorHAnsi" w:hAnsiTheme="minorHAnsi" w:cstheme="minorHAnsi"/>
          <w:b/>
          <w:sz w:val="20"/>
          <w:szCs w:val="20"/>
        </w:rPr>
      </w:r>
      <w:r w:rsidR="008A20F0">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r w:rsidRPr="00091B62">
        <w:rPr>
          <w:rFonts w:asciiTheme="minorHAnsi" w:hAnsiTheme="minorHAnsi" w:cstheme="minorHAnsi"/>
          <w:sz w:val="20"/>
          <w:szCs w:val="20"/>
          <w:lang w:val="en-US"/>
        </w:rPr>
        <w:t xml:space="preserve">  No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8A20F0">
        <w:rPr>
          <w:rFonts w:asciiTheme="minorHAnsi" w:hAnsiTheme="minorHAnsi" w:cstheme="minorHAnsi"/>
          <w:b/>
          <w:sz w:val="20"/>
          <w:szCs w:val="20"/>
        </w:rPr>
      </w:r>
      <w:r w:rsidR="008A20F0">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p>
    <w:p w:rsidR="00922AD8" w:rsidRDefault="00922AD8" w:rsidP="00091B62">
      <w:pPr>
        <w:jc w:val="both"/>
        <w:rPr>
          <w:rFonts w:asciiTheme="minorHAnsi" w:hAnsiTheme="minorHAnsi" w:cstheme="minorHAnsi"/>
          <w:sz w:val="20"/>
          <w:szCs w:val="20"/>
        </w:rPr>
      </w:pPr>
    </w:p>
    <w:p w:rsidR="00091B62" w:rsidRDefault="00091B62" w:rsidP="00091B62">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018"/>
        <w:gridCol w:w="1213"/>
        <w:gridCol w:w="1166"/>
        <w:gridCol w:w="1535"/>
        <w:gridCol w:w="1416"/>
        <w:gridCol w:w="1336"/>
      </w:tblGrid>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Name of the AIF or AIFs/or compartment(s) to be marketed in the host Member State</w:t>
            </w:r>
            <w:r w:rsidRPr="00091B62">
              <w:rPr>
                <w:rFonts w:asciiTheme="minorHAnsi" w:hAnsiTheme="minorHAnsi" w:cstheme="minorHAnsi"/>
                <w:sz w:val="20"/>
                <w:szCs w:val="20"/>
                <w:vertAlign w:val="superscript"/>
              </w:rPr>
              <w:footnoteReference w:id="1"/>
            </w:r>
          </w:p>
        </w:tc>
        <w:tc>
          <w:tcPr>
            <w:tcW w:w="629" w:type="pct"/>
            <w:shd w:val="clear" w:color="auto" w:fill="auto"/>
          </w:tcPr>
          <w:p w:rsidR="00091B62" w:rsidRPr="00091B62" w:rsidRDefault="00091B62" w:rsidP="00091B62">
            <w:pPr>
              <w:jc w:val="both"/>
              <w:rPr>
                <w:rFonts w:asciiTheme="minorHAnsi" w:hAnsiTheme="minorHAnsi" w:cstheme="minorHAnsi"/>
                <w:sz w:val="20"/>
                <w:szCs w:val="20"/>
              </w:rPr>
            </w:pPr>
            <w:r w:rsidRPr="00091B62">
              <w:rPr>
                <w:rFonts w:asciiTheme="minorHAnsi" w:hAnsiTheme="minorHAnsi" w:cstheme="minorHAnsi"/>
                <w:sz w:val="20"/>
                <w:szCs w:val="20"/>
              </w:rPr>
              <w:t xml:space="preserve">AIF home </w:t>
            </w:r>
            <w:proofErr w:type="spellStart"/>
            <w:r w:rsidRPr="00091B62">
              <w:rPr>
                <w:rFonts w:asciiTheme="minorHAnsi" w:hAnsiTheme="minorHAnsi" w:cstheme="minorHAnsi"/>
                <w:sz w:val="20"/>
                <w:szCs w:val="20"/>
              </w:rPr>
              <w:t>Member</w:t>
            </w:r>
            <w:proofErr w:type="spellEnd"/>
            <w:r w:rsidRPr="00091B62">
              <w:rPr>
                <w:rFonts w:asciiTheme="minorHAnsi" w:hAnsiTheme="minorHAnsi" w:cstheme="minorHAnsi"/>
                <w:sz w:val="20"/>
                <w:szCs w:val="20"/>
              </w:rPr>
              <w:t xml:space="preserve"> State</w:t>
            </w: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Legal form (common fund, unit trust, investment company, </w:t>
            </w:r>
            <w:r w:rsidRPr="00091B62">
              <w:rPr>
                <w:rFonts w:asciiTheme="minorHAnsi" w:hAnsiTheme="minorHAnsi" w:cstheme="minorHAnsi"/>
                <w:sz w:val="20"/>
                <w:szCs w:val="20"/>
                <w:lang w:val="en-US"/>
              </w:rPr>
              <w:lastRenderedPageBreak/>
              <w:t>partnership, other (please specify))</w:t>
            </w:r>
          </w:p>
        </w:tc>
        <w:tc>
          <w:tcPr>
            <w:tcW w:w="756" w:type="pct"/>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lastRenderedPageBreak/>
              <w:t>Name of the depositary of the AIF</w:t>
            </w:r>
            <w:r w:rsidRPr="00091B62">
              <w:rPr>
                <w:rFonts w:asciiTheme="minorHAnsi" w:hAnsiTheme="minorHAnsi" w:cstheme="minorHAnsi"/>
                <w:sz w:val="20"/>
                <w:szCs w:val="20"/>
                <w:vertAlign w:val="superscript"/>
              </w:rPr>
              <w:footnoteReference w:id="2"/>
            </w: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Name of the master AIF/or compartment(s) (if applicable)</w:t>
            </w: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Home Member State of the master AIF (if applicable)</w:t>
            </w: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AIF’s investment strategy (please specify the predominant </w:t>
            </w:r>
            <w:r w:rsidRPr="00091B62">
              <w:rPr>
                <w:rFonts w:asciiTheme="minorHAnsi" w:hAnsiTheme="minorHAnsi" w:cstheme="minorHAnsi"/>
                <w:sz w:val="20"/>
                <w:szCs w:val="20"/>
                <w:lang w:val="en-US"/>
              </w:rPr>
              <w:lastRenderedPageBreak/>
              <w:t>AIF and the breakdown by investment strategies as set out in the reporting template included in Regulation 231/2013)</w:t>
            </w:r>
          </w:p>
        </w:tc>
      </w:tr>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29"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756" w:type="pct"/>
          </w:tcPr>
          <w:p w:rsidR="00091B62" w:rsidRPr="00091B62" w:rsidRDefault="00091B62" w:rsidP="00091B62">
            <w:pPr>
              <w:jc w:val="both"/>
              <w:rPr>
                <w:rFonts w:asciiTheme="minorHAnsi" w:hAnsiTheme="minorHAnsi" w:cstheme="minorHAnsi"/>
                <w:sz w:val="20"/>
                <w:szCs w:val="20"/>
                <w:lang w:val="en-US"/>
              </w:rPr>
            </w:pP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p>
        </w:tc>
      </w:tr>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29"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756" w:type="pct"/>
          </w:tcPr>
          <w:p w:rsidR="00091B62" w:rsidRPr="00091B62" w:rsidRDefault="00091B62" w:rsidP="00091B62">
            <w:pPr>
              <w:jc w:val="both"/>
              <w:rPr>
                <w:rFonts w:asciiTheme="minorHAnsi" w:hAnsiTheme="minorHAnsi" w:cstheme="minorHAnsi"/>
                <w:sz w:val="20"/>
                <w:szCs w:val="20"/>
                <w:lang w:val="en-US"/>
              </w:rPr>
            </w:pP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p>
        </w:tc>
      </w:tr>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29"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756" w:type="pct"/>
          </w:tcPr>
          <w:p w:rsidR="00091B62" w:rsidRPr="00091B62" w:rsidRDefault="00091B62" w:rsidP="00091B62">
            <w:pPr>
              <w:jc w:val="both"/>
              <w:rPr>
                <w:rFonts w:asciiTheme="minorHAnsi" w:hAnsiTheme="minorHAnsi" w:cstheme="minorHAnsi"/>
                <w:sz w:val="20"/>
                <w:szCs w:val="20"/>
                <w:lang w:val="en-US"/>
              </w:rPr>
            </w:pP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p>
        </w:tc>
      </w:tr>
    </w:tbl>
    <w:p w:rsidR="00091B62" w:rsidRPr="00091B62" w:rsidRDefault="00091B62" w:rsidP="00091B62">
      <w:pPr>
        <w:jc w:val="both"/>
        <w:rPr>
          <w:rFonts w:asciiTheme="minorHAnsi" w:hAnsiTheme="minorHAnsi" w:cstheme="minorHAnsi"/>
          <w:sz w:val="20"/>
          <w:szCs w:val="20"/>
        </w:rPr>
      </w:pPr>
    </w:p>
    <w:p w:rsidR="00922AD8" w:rsidRDefault="00922AD8" w:rsidP="00091B62">
      <w:pPr>
        <w:jc w:val="both"/>
        <w:rPr>
          <w:rFonts w:asciiTheme="minorHAnsi" w:hAnsiTheme="minorHAnsi" w:cstheme="minorHAnsi"/>
          <w:sz w:val="20"/>
          <w:szCs w:val="20"/>
        </w:rPr>
      </w:pPr>
    </w:p>
    <w:p w:rsidR="00091B62" w:rsidRDefault="00091B62" w:rsidP="00091B62">
      <w:pPr>
        <w:jc w:val="both"/>
        <w:rPr>
          <w:rFonts w:asciiTheme="minorHAnsi" w:hAnsiTheme="minorHAnsi" w:cstheme="minorHAnsi"/>
          <w:sz w:val="20"/>
          <w:szCs w:val="20"/>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Information on the arrangements established to prevent units or shares of the AIF from </w:t>
      </w:r>
      <w:proofErr w:type="gramStart"/>
      <w:r w:rsidRPr="00091B62">
        <w:rPr>
          <w:rFonts w:asciiTheme="minorHAnsi" w:hAnsiTheme="minorHAnsi" w:cstheme="minorHAnsi"/>
          <w:sz w:val="20"/>
          <w:szCs w:val="20"/>
          <w:lang w:val="en-US"/>
        </w:rPr>
        <w:t>being marketed</w:t>
      </w:r>
      <w:proofErr w:type="gramEnd"/>
      <w:r w:rsidRPr="00091B62">
        <w:rPr>
          <w:rFonts w:asciiTheme="minorHAnsi" w:hAnsiTheme="minorHAnsi" w:cstheme="minorHAnsi"/>
          <w:sz w:val="20"/>
          <w:szCs w:val="20"/>
          <w:lang w:val="en-US"/>
        </w:rPr>
        <w:t xml:space="preserve"> to retail investors, including in the case where the AIFM relies on activities of independent entities to provide investment services in respect of the AIF:</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rPr>
      </w:pPr>
      <w:r w:rsidRPr="00091B62">
        <w:rPr>
          <w:rFonts w:asciiTheme="minorHAnsi" w:hAnsiTheme="minorHAnsi" w:cstheme="minorHAnsi"/>
          <w:sz w:val="20"/>
          <w:szCs w:val="20"/>
        </w:rPr>
        <w:t>____________________________________________________________________________________________________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rPr>
      </w:pPr>
    </w:p>
    <w:p w:rsidR="00922AD8" w:rsidRPr="00091B62" w:rsidRDefault="00922AD8" w:rsidP="00091B62">
      <w:pPr>
        <w:jc w:val="both"/>
        <w:rPr>
          <w:rFonts w:asciiTheme="minorHAnsi" w:hAnsiTheme="minorHAnsi" w:cstheme="minorHAnsi"/>
          <w:sz w:val="20"/>
          <w:szCs w:val="20"/>
        </w:rPr>
      </w:pPr>
    </w:p>
    <w:p w:rsidR="00922AD8" w:rsidRPr="00091B62" w:rsidRDefault="00922AD8" w:rsidP="00091B62">
      <w:pPr>
        <w:jc w:val="both"/>
        <w:rPr>
          <w:rFonts w:asciiTheme="minorHAnsi" w:hAnsiTheme="minorHAnsi" w:cstheme="minorHAnsi"/>
          <w:sz w:val="20"/>
          <w:szCs w:val="20"/>
        </w:rPr>
      </w:pPr>
    </w:p>
    <w:p w:rsidR="00922AD8" w:rsidRPr="00091B62" w:rsidRDefault="00922AD8" w:rsidP="00091B62">
      <w:pPr>
        <w:jc w:val="both"/>
        <w:rPr>
          <w:rFonts w:asciiTheme="minorHAnsi" w:hAnsiTheme="minorHAnsi" w:cstheme="minorHAnsi"/>
          <w:sz w:val="20"/>
          <w:szCs w:val="20"/>
        </w:rPr>
      </w:pPr>
      <w:bookmarkStart w:id="0" w:name="_GoBack"/>
      <w:bookmarkEnd w:id="0"/>
    </w:p>
    <w:sectPr w:rsidR="00922AD8" w:rsidRPr="00091B62"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F0" w:rsidRDefault="008A20F0">
      <w:r>
        <w:separator/>
      </w:r>
    </w:p>
  </w:endnote>
  <w:endnote w:type="continuationSeparator" w:id="0">
    <w:p w:rsidR="008A20F0" w:rsidRDefault="008A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76735"/>
      <w:docPartObj>
        <w:docPartGallery w:val="Page Numbers (Bottom of Page)"/>
        <w:docPartUnique/>
      </w:docPartObj>
    </w:sdtPr>
    <w:sdtEndPr>
      <w:rPr>
        <w:rFonts w:asciiTheme="minorHAnsi" w:hAnsiTheme="minorHAnsi" w:cstheme="minorHAnsi"/>
        <w:sz w:val="16"/>
        <w:szCs w:val="16"/>
      </w:rPr>
    </w:sdtEndPr>
    <w:sdtContent>
      <w:p w:rsidR="00621BA9" w:rsidRDefault="00621BA9">
        <w:pPr>
          <w:pStyle w:val="Pieddepage"/>
        </w:pPr>
        <w:r w:rsidRPr="00621BA9">
          <w:rPr>
            <w:rFonts w:asciiTheme="minorHAnsi" w:eastAsia="Times" w:hAnsiTheme="minorHAnsi" w:cstheme="minorHAnsi"/>
            <w:color w:val="808080"/>
            <w:sz w:val="16"/>
            <w:szCs w:val="16"/>
            <w:lang w:val="en-GB"/>
          </w:rPr>
          <w:t>This translation is for information purposes only</w:t>
        </w:r>
        <w:r>
          <w:t xml:space="preserve"> </w:t>
        </w:r>
        <w:r>
          <w:tab/>
        </w:r>
        <w:r>
          <w:tab/>
        </w:r>
        <w:r w:rsidRPr="00621BA9">
          <w:rPr>
            <w:rFonts w:asciiTheme="minorHAnsi" w:hAnsiTheme="minorHAnsi" w:cstheme="minorHAnsi"/>
            <w:sz w:val="16"/>
            <w:szCs w:val="16"/>
          </w:rPr>
          <w:fldChar w:fldCharType="begin"/>
        </w:r>
        <w:r w:rsidRPr="00621BA9">
          <w:rPr>
            <w:rFonts w:asciiTheme="minorHAnsi" w:hAnsiTheme="minorHAnsi" w:cstheme="minorHAnsi"/>
            <w:sz w:val="16"/>
            <w:szCs w:val="16"/>
          </w:rPr>
          <w:instrText>PAGE   \* MERGEFORMAT</w:instrText>
        </w:r>
        <w:r w:rsidRPr="00621BA9">
          <w:rPr>
            <w:rFonts w:asciiTheme="minorHAnsi" w:hAnsiTheme="minorHAnsi" w:cstheme="minorHAnsi"/>
            <w:sz w:val="16"/>
            <w:szCs w:val="16"/>
          </w:rPr>
          <w:fldChar w:fldCharType="separate"/>
        </w:r>
        <w:r>
          <w:rPr>
            <w:rFonts w:asciiTheme="minorHAnsi" w:hAnsiTheme="minorHAnsi" w:cstheme="minorHAnsi"/>
            <w:noProof/>
            <w:sz w:val="16"/>
            <w:szCs w:val="16"/>
          </w:rPr>
          <w:t>2</w:t>
        </w:r>
        <w:r w:rsidRPr="00621BA9">
          <w:rPr>
            <w:rFonts w:asciiTheme="minorHAnsi" w:hAnsiTheme="minorHAnsi" w:cstheme="minorHAnsi"/>
            <w:sz w:val="16"/>
            <w:szCs w:val="16"/>
          </w:rPr>
          <w:fldChar w:fldCharType="end"/>
        </w:r>
        <w:r>
          <w:rPr>
            <w:rFonts w:asciiTheme="minorHAnsi" w:hAnsiTheme="minorHAnsi" w:cstheme="minorHAnsi"/>
            <w:sz w:val="16"/>
            <w:szCs w:val="16"/>
          </w:rPr>
          <w:t>/2</w:t>
        </w:r>
      </w:p>
    </w:sdtContent>
  </w:sdt>
  <w:p w:rsidR="00621BA9" w:rsidRPr="00621BA9" w:rsidRDefault="00621BA9">
    <w:pPr>
      <w:pStyle w:val="Pieddepag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3739"/>
      <w:docPartObj>
        <w:docPartGallery w:val="Page Numbers (Bottom of Page)"/>
        <w:docPartUnique/>
      </w:docPartObj>
    </w:sdtPr>
    <w:sdtEndPr>
      <w:rPr>
        <w:rFonts w:asciiTheme="minorHAnsi" w:hAnsiTheme="minorHAnsi" w:cstheme="minorHAnsi"/>
        <w:sz w:val="16"/>
        <w:szCs w:val="16"/>
      </w:rPr>
    </w:sdtEndPr>
    <w:sdtContent>
      <w:p w:rsidR="00621BA9" w:rsidRDefault="00621BA9" w:rsidP="00621BA9">
        <w:pPr>
          <w:pStyle w:val="Pieddepage"/>
        </w:pPr>
        <w:r w:rsidRPr="00621BA9">
          <w:rPr>
            <w:rFonts w:asciiTheme="minorHAnsi" w:eastAsia="Times" w:hAnsiTheme="minorHAnsi" w:cstheme="minorHAnsi"/>
            <w:color w:val="808080"/>
            <w:sz w:val="16"/>
            <w:szCs w:val="16"/>
            <w:lang w:val="en-GB"/>
          </w:rPr>
          <w:t>This translation is for information purposes only</w:t>
        </w:r>
        <w:r>
          <w:rPr>
            <w:rFonts w:asciiTheme="minorHAnsi" w:eastAsia="Times" w:hAnsiTheme="minorHAnsi" w:cstheme="minorHAnsi"/>
            <w:color w:val="808080"/>
            <w:sz w:val="16"/>
            <w:szCs w:val="16"/>
            <w:lang w:val="en-GB"/>
          </w:rPr>
          <w:tab/>
        </w:r>
        <w:r>
          <w:rPr>
            <w:rFonts w:asciiTheme="minorHAnsi" w:eastAsia="Times" w:hAnsiTheme="minorHAnsi" w:cstheme="minorHAnsi"/>
            <w:color w:val="808080"/>
            <w:sz w:val="16"/>
            <w:szCs w:val="16"/>
            <w:lang w:val="en-GB"/>
          </w:rPr>
          <w:tab/>
        </w:r>
        <w:r>
          <w:t xml:space="preserve"> </w:t>
        </w:r>
        <w:r w:rsidRPr="00621BA9">
          <w:rPr>
            <w:rFonts w:asciiTheme="minorHAnsi" w:hAnsiTheme="minorHAnsi" w:cstheme="minorHAnsi"/>
            <w:sz w:val="16"/>
            <w:szCs w:val="16"/>
          </w:rPr>
          <w:fldChar w:fldCharType="begin"/>
        </w:r>
        <w:r w:rsidRPr="00621BA9">
          <w:rPr>
            <w:rFonts w:asciiTheme="minorHAnsi" w:hAnsiTheme="minorHAnsi" w:cstheme="minorHAnsi"/>
            <w:sz w:val="16"/>
            <w:szCs w:val="16"/>
          </w:rPr>
          <w:instrText>PAGE   \* MERGEFORMAT</w:instrText>
        </w:r>
        <w:r w:rsidRPr="00621BA9">
          <w:rPr>
            <w:rFonts w:asciiTheme="minorHAnsi" w:hAnsiTheme="minorHAnsi" w:cstheme="minorHAnsi"/>
            <w:sz w:val="16"/>
            <w:szCs w:val="16"/>
          </w:rPr>
          <w:fldChar w:fldCharType="separate"/>
        </w:r>
        <w:r>
          <w:rPr>
            <w:rFonts w:asciiTheme="minorHAnsi" w:hAnsiTheme="minorHAnsi" w:cstheme="minorHAnsi"/>
            <w:noProof/>
            <w:sz w:val="16"/>
            <w:szCs w:val="16"/>
          </w:rPr>
          <w:t>1</w:t>
        </w:r>
        <w:r w:rsidRPr="00621BA9">
          <w:rPr>
            <w:rFonts w:asciiTheme="minorHAnsi" w:hAnsiTheme="minorHAnsi" w:cstheme="minorHAnsi"/>
            <w:sz w:val="16"/>
            <w:szCs w:val="16"/>
          </w:rPr>
          <w:fldChar w:fldCharType="end"/>
        </w:r>
        <w:r>
          <w:rPr>
            <w:rFonts w:asciiTheme="minorHAnsi" w:hAnsiTheme="minorHAnsi" w:cstheme="minorHAnsi"/>
            <w:sz w:val="16"/>
            <w:szCs w:val="16"/>
          </w:rPr>
          <w:t>/2</w:t>
        </w:r>
      </w:p>
    </w:sdtContent>
  </w:sdt>
  <w:p w:rsidR="00621BA9" w:rsidRPr="00621BA9" w:rsidRDefault="00621BA9">
    <w:pPr>
      <w:pStyle w:val="Pieddepag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F0" w:rsidRDefault="008A20F0">
      <w:r>
        <w:separator/>
      </w:r>
    </w:p>
  </w:footnote>
  <w:footnote w:type="continuationSeparator" w:id="0">
    <w:p w:rsidR="008A20F0" w:rsidRDefault="008A20F0">
      <w:r>
        <w:continuationSeparator/>
      </w:r>
    </w:p>
  </w:footnote>
  <w:footnote w:id="1">
    <w:p w:rsidR="00091B62" w:rsidRPr="00091B62" w:rsidRDefault="00091B62" w:rsidP="00091B62">
      <w:pPr>
        <w:jc w:val="both"/>
        <w:rPr>
          <w:rFonts w:asciiTheme="minorHAnsi" w:hAnsiTheme="minorHAnsi" w:cstheme="minorHAnsi"/>
          <w:i/>
          <w:sz w:val="16"/>
          <w:szCs w:val="16"/>
        </w:rPr>
      </w:pPr>
      <w:r w:rsidRPr="00091B62">
        <w:rPr>
          <w:rFonts w:asciiTheme="minorHAnsi" w:hAnsiTheme="minorHAnsi" w:cstheme="minorHAnsi"/>
          <w:i/>
          <w:sz w:val="16"/>
          <w:szCs w:val="16"/>
          <w:vertAlign w:val="superscript"/>
        </w:rPr>
        <w:footnoteRef/>
      </w:r>
      <w:r w:rsidRPr="00091B62">
        <w:rPr>
          <w:rFonts w:asciiTheme="minorHAnsi" w:hAnsiTheme="minorHAnsi" w:cstheme="minorHAnsi"/>
          <w:i/>
          <w:sz w:val="16"/>
          <w:szCs w:val="16"/>
          <w:vertAlign w:val="superscript"/>
        </w:rPr>
        <w:t xml:space="preserve"> </w:t>
      </w:r>
      <w:r w:rsidRPr="00091B62">
        <w:rPr>
          <w:rFonts w:asciiTheme="minorHAnsi" w:hAnsiTheme="minorHAnsi" w:cstheme="minorHAnsi"/>
          <w:i/>
          <w:sz w:val="16"/>
          <w:szCs w:val="16"/>
        </w:rPr>
        <w:t xml:space="preserve">If the AIF </w:t>
      </w:r>
      <w:proofErr w:type="spellStart"/>
      <w:r w:rsidRPr="00091B62">
        <w:rPr>
          <w:rFonts w:asciiTheme="minorHAnsi" w:hAnsiTheme="minorHAnsi" w:cstheme="minorHAnsi"/>
          <w:i/>
          <w:sz w:val="16"/>
          <w:szCs w:val="16"/>
        </w:rPr>
        <w:t>takes</w:t>
      </w:r>
      <w:proofErr w:type="spellEnd"/>
      <w:r w:rsidRPr="00091B62">
        <w:rPr>
          <w:rFonts w:asciiTheme="minorHAnsi" w:hAnsiTheme="minorHAnsi" w:cstheme="minorHAnsi"/>
          <w:i/>
          <w:sz w:val="16"/>
          <w:szCs w:val="16"/>
        </w:rPr>
        <w:t xml:space="preserve"> the </w:t>
      </w:r>
      <w:proofErr w:type="spellStart"/>
      <w:r w:rsidRPr="00091B62">
        <w:rPr>
          <w:rFonts w:asciiTheme="minorHAnsi" w:hAnsiTheme="minorHAnsi" w:cstheme="minorHAnsi"/>
          <w:i/>
          <w:sz w:val="16"/>
          <w:szCs w:val="16"/>
        </w:rPr>
        <w:t>form</w:t>
      </w:r>
      <w:proofErr w:type="spellEnd"/>
      <w:r w:rsidRPr="00091B62">
        <w:rPr>
          <w:rFonts w:asciiTheme="minorHAnsi" w:hAnsiTheme="minorHAnsi" w:cstheme="minorHAnsi"/>
          <w:i/>
          <w:sz w:val="16"/>
          <w:szCs w:val="16"/>
        </w:rPr>
        <w:t xml:space="preserve"> of an </w:t>
      </w:r>
      <w:proofErr w:type="spellStart"/>
      <w:r w:rsidRPr="00091B62">
        <w:rPr>
          <w:rFonts w:asciiTheme="minorHAnsi" w:hAnsiTheme="minorHAnsi" w:cstheme="minorHAnsi"/>
          <w:i/>
          <w:sz w:val="16"/>
          <w:szCs w:val="16"/>
        </w:rPr>
        <w:t>umbrella</w:t>
      </w:r>
      <w:proofErr w:type="spellEnd"/>
      <w:r w:rsidRPr="00091B62">
        <w:rPr>
          <w:rFonts w:asciiTheme="minorHAnsi" w:hAnsiTheme="minorHAnsi" w:cstheme="minorHAnsi"/>
          <w:i/>
          <w:sz w:val="16"/>
          <w:szCs w:val="16"/>
        </w:rPr>
        <w:t xml:space="preserve"> AIF </w:t>
      </w:r>
      <w:proofErr w:type="spellStart"/>
      <w:r w:rsidRPr="00091B62">
        <w:rPr>
          <w:rFonts w:asciiTheme="minorHAnsi" w:hAnsiTheme="minorHAnsi" w:cstheme="minorHAnsi"/>
          <w:i/>
          <w:sz w:val="16"/>
          <w:szCs w:val="16"/>
        </w:rPr>
        <w:t>with</w:t>
      </w:r>
      <w:proofErr w:type="spellEnd"/>
      <w:r w:rsidRPr="00091B62">
        <w:rPr>
          <w:rFonts w:asciiTheme="minorHAnsi" w:hAnsiTheme="minorHAnsi" w:cstheme="minorHAnsi"/>
          <w:i/>
          <w:sz w:val="16"/>
          <w:szCs w:val="16"/>
        </w:rPr>
        <w:t xml:space="preserve"> multiple </w:t>
      </w:r>
      <w:proofErr w:type="spellStart"/>
      <w:r w:rsidRPr="00091B62">
        <w:rPr>
          <w:rFonts w:asciiTheme="minorHAnsi" w:hAnsiTheme="minorHAnsi" w:cstheme="minorHAnsi"/>
          <w:i/>
          <w:sz w:val="16"/>
          <w:szCs w:val="16"/>
        </w:rPr>
        <w:t>compartments</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AIFMs</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should</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only</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indicate</w:t>
      </w:r>
      <w:proofErr w:type="spellEnd"/>
      <w:r w:rsidRPr="00091B62">
        <w:rPr>
          <w:rFonts w:asciiTheme="minorHAnsi" w:hAnsiTheme="minorHAnsi" w:cstheme="minorHAnsi"/>
          <w:i/>
          <w:sz w:val="16"/>
          <w:szCs w:val="16"/>
        </w:rPr>
        <w:t xml:space="preserve"> the </w:t>
      </w:r>
      <w:proofErr w:type="spellStart"/>
      <w:r w:rsidRPr="00091B62">
        <w:rPr>
          <w:rFonts w:asciiTheme="minorHAnsi" w:hAnsiTheme="minorHAnsi" w:cstheme="minorHAnsi"/>
          <w:i/>
          <w:sz w:val="16"/>
          <w:szCs w:val="16"/>
        </w:rPr>
        <w:t>name</w:t>
      </w:r>
      <w:proofErr w:type="spellEnd"/>
      <w:r w:rsidRPr="00091B62">
        <w:rPr>
          <w:rFonts w:asciiTheme="minorHAnsi" w:hAnsiTheme="minorHAnsi" w:cstheme="minorHAnsi"/>
          <w:i/>
          <w:sz w:val="16"/>
          <w:szCs w:val="16"/>
        </w:rPr>
        <w:t xml:space="preserve"> of the </w:t>
      </w:r>
      <w:proofErr w:type="spellStart"/>
      <w:r w:rsidRPr="00091B62">
        <w:rPr>
          <w:rFonts w:asciiTheme="minorHAnsi" w:hAnsiTheme="minorHAnsi" w:cstheme="minorHAnsi"/>
          <w:i/>
          <w:sz w:val="16"/>
          <w:szCs w:val="16"/>
        </w:rPr>
        <w:t>compartments</w:t>
      </w:r>
      <w:proofErr w:type="spellEnd"/>
      <w:r w:rsidRPr="00091B62">
        <w:rPr>
          <w:rFonts w:asciiTheme="minorHAnsi" w:hAnsiTheme="minorHAnsi" w:cstheme="minorHAnsi"/>
          <w:i/>
          <w:sz w:val="16"/>
          <w:szCs w:val="16"/>
        </w:rPr>
        <w:t xml:space="preserve"> of the </w:t>
      </w:r>
      <w:proofErr w:type="spellStart"/>
      <w:r w:rsidRPr="00091B62">
        <w:rPr>
          <w:rFonts w:asciiTheme="minorHAnsi" w:hAnsiTheme="minorHAnsi" w:cstheme="minorHAnsi"/>
          <w:i/>
          <w:sz w:val="16"/>
          <w:szCs w:val="16"/>
        </w:rPr>
        <w:t>umbrella</w:t>
      </w:r>
      <w:proofErr w:type="spellEnd"/>
      <w:r w:rsidRPr="00091B62">
        <w:rPr>
          <w:rFonts w:asciiTheme="minorHAnsi" w:hAnsiTheme="minorHAnsi" w:cstheme="minorHAnsi"/>
          <w:i/>
          <w:sz w:val="16"/>
          <w:szCs w:val="16"/>
        </w:rPr>
        <w:t xml:space="preserve"> AIF </w:t>
      </w:r>
      <w:proofErr w:type="spellStart"/>
      <w:r w:rsidRPr="00091B62">
        <w:rPr>
          <w:rFonts w:asciiTheme="minorHAnsi" w:hAnsiTheme="minorHAnsi" w:cstheme="minorHAnsi"/>
          <w:i/>
          <w:sz w:val="16"/>
          <w:szCs w:val="16"/>
        </w:rPr>
        <w:t>notified</w:t>
      </w:r>
      <w:proofErr w:type="spellEnd"/>
      <w:r w:rsidRPr="00091B62">
        <w:rPr>
          <w:rFonts w:asciiTheme="minorHAnsi" w:hAnsiTheme="minorHAnsi" w:cstheme="minorHAnsi"/>
          <w:i/>
          <w:sz w:val="16"/>
          <w:szCs w:val="16"/>
        </w:rPr>
        <w:t xml:space="preserve"> for marketing. AIFMs should not indicate the name of the umbrella AIF.</w:t>
      </w:r>
    </w:p>
  </w:footnote>
  <w:footnote w:id="2">
    <w:p w:rsidR="00091B62" w:rsidRPr="00860179" w:rsidRDefault="00091B62" w:rsidP="00091B62">
      <w:pPr>
        <w:jc w:val="both"/>
        <w:rPr>
          <w:lang w:val="en-US"/>
        </w:rPr>
      </w:pPr>
      <w:r w:rsidRPr="00091B62">
        <w:rPr>
          <w:rFonts w:asciiTheme="minorHAnsi" w:hAnsiTheme="minorHAnsi" w:cstheme="minorHAnsi"/>
          <w:i/>
          <w:sz w:val="16"/>
          <w:szCs w:val="16"/>
          <w:vertAlign w:val="superscript"/>
        </w:rPr>
        <w:footnoteRef/>
      </w:r>
      <w:r w:rsidRPr="00091B62">
        <w:rPr>
          <w:rFonts w:asciiTheme="minorHAnsi" w:hAnsiTheme="minorHAnsi" w:cstheme="minorHAnsi"/>
          <w:i/>
          <w:sz w:val="16"/>
          <w:szCs w:val="16"/>
        </w:rPr>
        <w:t xml:space="preserve"> Information on the depositary of the AIF should include the address of the depositary.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B555B3" w:rsidP="00B555B3">
    <w:pPr>
      <w:pStyle w:val="En-tte"/>
      <w:jc w:val="both"/>
      <w:rPr>
        <w:rFonts w:asciiTheme="minorHAnsi" w:hAnsiTheme="minorHAnsi" w:cstheme="minorHAnsi"/>
        <w:sz w:val="18"/>
        <w:szCs w:val="18"/>
      </w:rPr>
    </w:pPr>
    <w:r w:rsidRPr="00B555B3">
      <w:rPr>
        <w:rFonts w:asciiTheme="minorHAnsi" w:hAnsiTheme="minorHAnsi" w:cstheme="minorHAnsi"/>
        <w:sz w:val="18"/>
        <w:szCs w:val="18"/>
      </w:rPr>
      <w:t xml:space="preserve">Notification </w:t>
    </w:r>
    <w:proofErr w:type="spellStart"/>
    <w:r w:rsidRPr="00B555B3">
      <w:rPr>
        <w:rFonts w:asciiTheme="minorHAnsi" w:hAnsiTheme="minorHAnsi" w:cstheme="minorHAnsi"/>
        <w:sz w:val="18"/>
        <w:szCs w:val="18"/>
      </w:rPr>
      <w:t>letter</w:t>
    </w:r>
    <w:proofErr w:type="spellEnd"/>
    <w:r w:rsidRPr="00B555B3">
      <w:rPr>
        <w:rFonts w:asciiTheme="minorHAnsi" w:hAnsiTheme="minorHAnsi" w:cstheme="minorHAnsi"/>
        <w:sz w:val="18"/>
        <w:szCs w:val="18"/>
      </w:rPr>
      <w:t xml:space="preserve"> to </w:t>
    </w:r>
    <w:proofErr w:type="spellStart"/>
    <w:r w:rsidRPr="00B555B3">
      <w:rPr>
        <w:rFonts w:asciiTheme="minorHAnsi" w:hAnsiTheme="minorHAnsi" w:cstheme="minorHAnsi"/>
        <w:sz w:val="18"/>
        <w:szCs w:val="18"/>
      </w:rPr>
      <w:t>be</w:t>
    </w:r>
    <w:proofErr w:type="spellEnd"/>
    <w:r w:rsidRPr="00B555B3">
      <w:rPr>
        <w:rFonts w:asciiTheme="minorHAnsi" w:hAnsiTheme="minorHAnsi" w:cstheme="minorHAnsi"/>
        <w:sz w:val="18"/>
        <w:szCs w:val="18"/>
      </w:rPr>
      <w:t xml:space="preserve"> </w:t>
    </w:r>
    <w:proofErr w:type="spellStart"/>
    <w:r w:rsidRPr="00B555B3">
      <w:rPr>
        <w:rFonts w:asciiTheme="minorHAnsi" w:hAnsiTheme="minorHAnsi" w:cstheme="minorHAnsi"/>
        <w:sz w:val="18"/>
        <w:szCs w:val="18"/>
      </w:rPr>
      <w:t>completed</w:t>
    </w:r>
    <w:proofErr w:type="spellEnd"/>
    <w:r w:rsidRPr="00B555B3">
      <w:rPr>
        <w:rFonts w:asciiTheme="minorHAnsi" w:hAnsiTheme="minorHAnsi" w:cstheme="minorHAnsi"/>
        <w:sz w:val="18"/>
        <w:szCs w:val="18"/>
      </w:rPr>
      <w:t xml:space="preserve"> </w:t>
    </w:r>
    <w:proofErr w:type="spellStart"/>
    <w:r w:rsidRPr="00B555B3">
      <w:rPr>
        <w:rFonts w:asciiTheme="minorHAnsi" w:hAnsiTheme="minorHAnsi" w:cstheme="minorHAnsi"/>
        <w:sz w:val="18"/>
        <w:szCs w:val="18"/>
      </w:rPr>
      <w:t>prior</w:t>
    </w:r>
    <w:proofErr w:type="spellEnd"/>
    <w:r w:rsidRPr="00B555B3">
      <w:rPr>
        <w:rFonts w:asciiTheme="minorHAnsi" w:hAnsiTheme="minorHAnsi" w:cstheme="minorHAnsi"/>
        <w:sz w:val="18"/>
        <w:szCs w:val="18"/>
      </w:rPr>
      <w:t xml:space="preserve"> to marketing </w:t>
    </w:r>
    <w:proofErr w:type="spellStart"/>
    <w:r w:rsidRPr="00B555B3">
      <w:rPr>
        <w:rFonts w:asciiTheme="minorHAnsi" w:hAnsiTheme="minorHAnsi" w:cstheme="minorHAnsi"/>
        <w:sz w:val="18"/>
        <w:szCs w:val="18"/>
      </w:rPr>
      <w:t>units</w:t>
    </w:r>
    <w:proofErr w:type="spellEnd"/>
    <w:r w:rsidRPr="00B555B3">
      <w:rPr>
        <w:rFonts w:asciiTheme="minorHAnsi" w:hAnsiTheme="minorHAnsi" w:cstheme="minorHAnsi"/>
        <w:sz w:val="18"/>
        <w:szCs w:val="18"/>
      </w:rPr>
      <w:t xml:space="preserve"> or </w:t>
    </w:r>
    <w:proofErr w:type="spellStart"/>
    <w:r w:rsidRPr="00B555B3">
      <w:rPr>
        <w:rFonts w:asciiTheme="minorHAnsi" w:hAnsiTheme="minorHAnsi" w:cstheme="minorHAnsi"/>
        <w:sz w:val="18"/>
        <w:szCs w:val="18"/>
      </w:rPr>
      <w:t>shares</w:t>
    </w:r>
    <w:proofErr w:type="spellEnd"/>
    <w:r w:rsidRPr="00B555B3">
      <w:rPr>
        <w:rFonts w:asciiTheme="minorHAnsi" w:hAnsiTheme="minorHAnsi" w:cstheme="minorHAnsi"/>
        <w:sz w:val="18"/>
        <w:szCs w:val="18"/>
      </w:rPr>
      <w:t xml:space="preserve"> of a </w:t>
    </w:r>
    <w:proofErr w:type="spellStart"/>
    <w:r w:rsidRPr="00B555B3">
      <w:rPr>
        <w:rFonts w:asciiTheme="minorHAnsi" w:hAnsiTheme="minorHAnsi" w:cstheme="minorHAnsi"/>
        <w:sz w:val="18"/>
        <w:szCs w:val="18"/>
      </w:rPr>
      <w:t>European</w:t>
    </w:r>
    <w:proofErr w:type="spellEnd"/>
    <w:r w:rsidRPr="00B555B3">
      <w:rPr>
        <w:rFonts w:asciiTheme="minorHAnsi" w:hAnsiTheme="minorHAnsi" w:cstheme="minorHAnsi"/>
        <w:sz w:val="18"/>
        <w:szCs w:val="18"/>
      </w:rPr>
      <w:t xml:space="preserve"> Union AIF </w:t>
    </w:r>
    <w:proofErr w:type="spellStart"/>
    <w:r w:rsidRPr="00B555B3">
      <w:rPr>
        <w:rFonts w:asciiTheme="minorHAnsi" w:hAnsiTheme="minorHAnsi" w:cstheme="minorHAnsi"/>
        <w:sz w:val="18"/>
        <w:szCs w:val="18"/>
      </w:rPr>
      <w:t>managed</w:t>
    </w:r>
    <w:proofErr w:type="spellEnd"/>
    <w:r w:rsidRPr="00B555B3">
      <w:rPr>
        <w:rFonts w:asciiTheme="minorHAnsi" w:hAnsiTheme="minorHAnsi" w:cstheme="minorHAnsi"/>
        <w:sz w:val="18"/>
        <w:szCs w:val="18"/>
      </w:rPr>
      <w:t xml:space="preserve"> by an </w:t>
    </w:r>
    <w:proofErr w:type="spellStart"/>
    <w:r w:rsidRPr="00B555B3">
      <w:rPr>
        <w:rFonts w:asciiTheme="minorHAnsi" w:hAnsiTheme="minorHAnsi" w:cstheme="minorHAnsi"/>
        <w:sz w:val="18"/>
        <w:szCs w:val="18"/>
      </w:rPr>
      <w:t>asset</w:t>
    </w:r>
    <w:proofErr w:type="spellEnd"/>
    <w:r w:rsidRPr="00B555B3">
      <w:rPr>
        <w:rFonts w:asciiTheme="minorHAnsi" w:hAnsiTheme="minorHAnsi" w:cstheme="minorHAnsi"/>
        <w:sz w:val="18"/>
        <w:szCs w:val="18"/>
      </w:rPr>
      <w:t xml:space="preserve"> management </w:t>
    </w:r>
    <w:proofErr w:type="spellStart"/>
    <w:r w:rsidRPr="00B555B3">
      <w:rPr>
        <w:rFonts w:asciiTheme="minorHAnsi" w:hAnsiTheme="minorHAnsi" w:cstheme="minorHAnsi"/>
        <w:sz w:val="18"/>
        <w:szCs w:val="18"/>
      </w:rPr>
      <w:t>company</w:t>
    </w:r>
    <w:proofErr w:type="spellEnd"/>
    <w:r w:rsidRPr="00B555B3">
      <w:rPr>
        <w:rFonts w:asciiTheme="minorHAnsi" w:hAnsiTheme="minorHAnsi" w:cstheme="minorHAnsi"/>
        <w:sz w:val="18"/>
        <w:szCs w:val="18"/>
      </w:rPr>
      <w:t xml:space="preserve"> </w:t>
    </w:r>
    <w:proofErr w:type="spellStart"/>
    <w:r w:rsidRPr="00B555B3">
      <w:rPr>
        <w:rFonts w:asciiTheme="minorHAnsi" w:hAnsiTheme="minorHAnsi" w:cstheme="minorHAnsi"/>
        <w:sz w:val="18"/>
        <w:szCs w:val="18"/>
      </w:rPr>
      <w:t>authorised</w:t>
    </w:r>
    <w:proofErr w:type="spellEnd"/>
    <w:r w:rsidRPr="00B555B3">
      <w:rPr>
        <w:rFonts w:asciiTheme="minorHAnsi" w:hAnsiTheme="minorHAnsi" w:cstheme="minorHAnsi"/>
        <w:sz w:val="18"/>
        <w:szCs w:val="18"/>
      </w:rPr>
      <w:t xml:space="preserve"> in France in a </w:t>
    </w:r>
    <w:proofErr w:type="spellStart"/>
    <w:r w:rsidRPr="00B555B3">
      <w:rPr>
        <w:rFonts w:asciiTheme="minorHAnsi" w:hAnsiTheme="minorHAnsi" w:cstheme="minorHAnsi"/>
        <w:sz w:val="18"/>
        <w:szCs w:val="18"/>
      </w:rPr>
      <w:t>European</w:t>
    </w:r>
    <w:proofErr w:type="spellEnd"/>
    <w:r w:rsidRPr="00B555B3">
      <w:rPr>
        <w:rFonts w:asciiTheme="minorHAnsi" w:hAnsiTheme="minorHAnsi" w:cstheme="minorHAnsi"/>
        <w:sz w:val="18"/>
        <w:szCs w:val="18"/>
      </w:rPr>
      <w:t xml:space="preserve"> </w:t>
    </w:r>
    <w:proofErr w:type="spellStart"/>
    <w:r w:rsidRPr="00B555B3">
      <w:rPr>
        <w:rFonts w:asciiTheme="minorHAnsi" w:hAnsiTheme="minorHAnsi" w:cstheme="minorHAnsi"/>
        <w:sz w:val="18"/>
        <w:szCs w:val="18"/>
      </w:rPr>
      <w:t>Member</w:t>
    </w:r>
    <w:proofErr w:type="spellEnd"/>
    <w:r w:rsidRPr="00B555B3">
      <w:rPr>
        <w:rFonts w:asciiTheme="minorHAnsi" w:hAnsiTheme="minorHAnsi" w:cstheme="minorHAnsi"/>
        <w:sz w:val="18"/>
        <w:szCs w:val="18"/>
      </w:rPr>
      <w:t xml:space="preserve"> State </w:t>
    </w:r>
    <w:proofErr w:type="spellStart"/>
    <w:r w:rsidRPr="00B555B3">
      <w:rPr>
        <w:rFonts w:asciiTheme="minorHAnsi" w:hAnsiTheme="minorHAnsi" w:cstheme="minorHAnsi"/>
        <w:sz w:val="18"/>
        <w:szCs w:val="18"/>
      </w:rPr>
      <w:t>other</w:t>
    </w:r>
    <w:proofErr w:type="spellEnd"/>
    <w:r w:rsidRPr="00B555B3">
      <w:rPr>
        <w:rFonts w:asciiTheme="minorHAnsi" w:hAnsiTheme="minorHAnsi" w:cstheme="minorHAnsi"/>
        <w:sz w:val="18"/>
        <w:szCs w:val="18"/>
      </w:rPr>
      <w:t xml:space="preserve"> </w:t>
    </w:r>
    <w:proofErr w:type="spellStart"/>
    <w:r w:rsidRPr="00B555B3">
      <w:rPr>
        <w:rFonts w:asciiTheme="minorHAnsi" w:hAnsiTheme="minorHAnsi" w:cstheme="minorHAnsi"/>
        <w:sz w:val="18"/>
        <w:szCs w:val="18"/>
      </w:rPr>
      <w:t>than</w:t>
    </w:r>
    <w:proofErr w:type="spellEnd"/>
    <w:r w:rsidRPr="00B555B3">
      <w:rPr>
        <w:rFonts w:asciiTheme="minorHAnsi" w:hAnsiTheme="minorHAnsi" w:cstheme="minorHAnsi"/>
        <w:sz w:val="18"/>
        <w:szCs w:val="18"/>
      </w:rPr>
      <w:t xml:space="preserve"> France</w:t>
    </w:r>
    <w:r w:rsidR="00F660AF">
      <w:rPr>
        <w:rFonts w:asciiTheme="minorHAnsi" w:hAnsiTheme="minorHAnsi" w:cstheme="minorHAnsi"/>
        <w:sz w:val="18"/>
        <w:szCs w:val="18"/>
      </w:rPr>
      <w:t xml:space="preserve"> – </w:t>
    </w:r>
    <w:proofErr w:type="spellStart"/>
    <w:r w:rsidR="00F660AF">
      <w:rPr>
        <w:rFonts w:asciiTheme="minorHAnsi" w:hAnsiTheme="minorHAnsi" w:cstheme="minorHAnsi"/>
        <w:sz w:val="18"/>
        <w:szCs w:val="18"/>
      </w:rPr>
      <w:t>Annex</w:t>
    </w:r>
    <w:proofErr w:type="spellEnd"/>
    <w:r w:rsidR="00F660AF">
      <w:rPr>
        <w:rFonts w:asciiTheme="minorHAnsi" w:hAnsiTheme="minorHAnsi" w:cstheme="minorHAnsi"/>
        <w:sz w:val="18"/>
        <w:szCs w:val="18"/>
      </w:rPr>
      <w:t xml:space="preserve"> 2-1 </w:t>
    </w:r>
    <w:r>
      <w:rPr>
        <w:rFonts w:asciiTheme="minorHAnsi" w:hAnsiTheme="minorHAnsi" w:cstheme="minorHAnsi"/>
        <w:sz w:val="18"/>
        <w:szCs w:val="18"/>
      </w:rPr>
      <w:t xml:space="preserve">to AMF Instruction </w:t>
    </w:r>
    <w:r w:rsidR="00F660AF">
      <w:rPr>
        <w:rFonts w:asciiTheme="minorHAnsi" w:hAnsiTheme="minorHAnsi" w:cstheme="minorHAnsi"/>
        <w:sz w:val="18"/>
        <w:szCs w:val="18"/>
      </w:rPr>
      <w:t>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27.9pt;height:27.9pt" o:bullet="t">
        <v:imagedata r:id="rId1" o:title="Flêche_AMF_blc"/>
      </v:shape>
    </w:pict>
  </w:numPicBullet>
  <w:numPicBullet w:numPicBulletId="1">
    <w:pict>
      <v:shape id="_x0000_i1522" type="#_x0000_t75" style="width:2.5pt;height:2.5pt" o:bullet="t">
        <v:imagedata r:id="rId2" o:title="Fleche_prune copie"/>
      </v:shape>
    </w:pict>
  </w:numPicBullet>
  <w:numPicBullet w:numPicBulletId="2">
    <w:pict>
      <v:shape id="_x0000_i1523" type="#_x0000_t75" style="width:27.9pt;height:27.9pt" o:bullet="t">
        <v:imagedata r:id="rId3" o:title="Fleche_jaune"/>
      </v:shape>
    </w:pict>
  </w:numPicBullet>
  <w:numPicBullet w:numPicBulletId="3">
    <w:pict>
      <v:shape id="_x0000_i1524" type="#_x0000_t75" style="width:27.9pt;height:27.9pt" o:bullet="t">
        <v:imagedata r:id="rId4" o:title="Fleche_aubergine"/>
      </v:shape>
    </w:pict>
  </w:numPicBullet>
  <w:numPicBullet w:numPicBulletId="4">
    <w:pict>
      <v:shape id="_x0000_i1525"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9"/>
  </w:num>
  <w:num w:numId="23">
    <w:abstractNumId w:val="13"/>
  </w:num>
  <w:num w:numId="24">
    <w:abstractNumId w:val="30"/>
  </w:num>
  <w:num w:numId="25">
    <w:abstractNumId w:val="27"/>
  </w:num>
  <w:num w:numId="26">
    <w:abstractNumId w:val="33"/>
  </w:num>
  <w:num w:numId="27">
    <w:abstractNumId w:val="21"/>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20"/>
  </w:num>
  <w:num w:numId="38">
    <w:abstractNumId w:val="35"/>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910D1"/>
    <w:rsid w:val="00091B62"/>
    <w:rsid w:val="000B7F59"/>
    <w:rsid w:val="000F3F43"/>
    <w:rsid w:val="00105E07"/>
    <w:rsid w:val="0013025C"/>
    <w:rsid w:val="00133FF8"/>
    <w:rsid w:val="0023161B"/>
    <w:rsid w:val="0023233D"/>
    <w:rsid w:val="002434A6"/>
    <w:rsid w:val="002F705A"/>
    <w:rsid w:val="00365120"/>
    <w:rsid w:val="00367F03"/>
    <w:rsid w:val="003A3378"/>
    <w:rsid w:val="003B0015"/>
    <w:rsid w:val="003F1091"/>
    <w:rsid w:val="00460571"/>
    <w:rsid w:val="005009B5"/>
    <w:rsid w:val="00511597"/>
    <w:rsid w:val="00593EDE"/>
    <w:rsid w:val="005C1100"/>
    <w:rsid w:val="005C6282"/>
    <w:rsid w:val="00621BA9"/>
    <w:rsid w:val="0066464A"/>
    <w:rsid w:val="00684FDF"/>
    <w:rsid w:val="006C4987"/>
    <w:rsid w:val="006E6631"/>
    <w:rsid w:val="007211C5"/>
    <w:rsid w:val="0075127A"/>
    <w:rsid w:val="007759C7"/>
    <w:rsid w:val="007C2CD0"/>
    <w:rsid w:val="00826BA0"/>
    <w:rsid w:val="00835FC9"/>
    <w:rsid w:val="00837D1C"/>
    <w:rsid w:val="008A20F0"/>
    <w:rsid w:val="008A64B6"/>
    <w:rsid w:val="008B2E32"/>
    <w:rsid w:val="00922AD8"/>
    <w:rsid w:val="009522A4"/>
    <w:rsid w:val="0097706F"/>
    <w:rsid w:val="009D35DA"/>
    <w:rsid w:val="009F4493"/>
    <w:rsid w:val="00A375FC"/>
    <w:rsid w:val="00A52761"/>
    <w:rsid w:val="00AC2B18"/>
    <w:rsid w:val="00AF529B"/>
    <w:rsid w:val="00B555B3"/>
    <w:rsid w:val="00BB72F2"/>
    <w:rsid w:val="00C109BF"/>
    <w:rsid w:val="00C96044"/>
    <w:rsid w:val="00D52CFD"/>
    <w:rsid w:val="00D55321"/>
    <w:rsid w:val="00D80A91"/>
    <w:rsid w:val="00E049BB"/>
    <w:rsid w:val="00E1204F"/>
    <w:rsid w:val="00E46668"/>
    <w:rsid w:val="00E66D10"/>
    <w:rsid w:val="00E74AAB"/>
    <w:rsid w:val="00F56AE2"/>
    <w:rsid w:val="00F660A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6C5DC"/>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62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A4C7-9E07-4975-92E3-1DB94670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15</cp:revision>
  <cp:lastPrinted>2010-11-05T13:58:00Z</cp:lastPrinted>
  <dcterms:created xsi:type="dcterms:W3CDTF">2021-07-12T09:35:00Z</dcterms:created>
  <dcterms:modified xsi:type="dcterms:W3CDTF">2021-07-12T10:01:00Z</dcterms:modified>
</cp:coreProperties>
</file>