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3F1091" w:rsidRDefault="003F1091" w:rsidP="003F1091">
      <w:pPr>
        <w:pStyle w:val="AMFTitre"/>
        <w:ind w:left="0"/>
        <w:jc w:val="both"/>
        <w:rPr>
          <w:sz w:val="24"/>
          <w:szCs w:val="24"/>
        </w:rPr>
      </w:pPr>
      <w:r w:rsidRPr="003F1091">
        <w:rPr>
          <w:sz w:val="24"/>
          <w:szCs w:val="24"/>
        </w:rPr>
        <w:t>Lettre de notification à remplir préalablement pour la commercialisation de parts ou actions de FIA de l’Union européenne géré par une société de gestion de portefeuille agréée en France dans un autre Etat membre de l</w:t>
      </w:r>
      <w:r>
        <w:rPr>
          <w:sz w:val="24"/>
          <w:szCs w:val="24"/>
        </w:rPr>
        <w:t>’Union européenne que la France</w:t>
      </w:r>
      <w:r w:rsidR="00E1204F" w:rsidRPr="003F1091">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p>
    <w:p w:rsidR="0097706F" w:rsidRPr="00684FDF" w:rsidRDefault="0097706F" w:rsidP="0097706F">
      <w:pPr>
        <w:rPr>
          <w:rFonts w:asciiTheme="minorHAnsi" w:hAnsiTheme="minorHAnsi" w:cstheme="minorHAnsi"/>
        </w:rPr>
      </w:pPr>
      <w:bookmarkStart w:id="0" w:name="_GoBack"/>
      <w:bookmarkEnd w:id="0"/>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684FDF" w:rsidRPr="003F1091" w:rsidRDefault="003F1091" w:rsidP="00F56AE2">
      <w:pPr>
        <w:pStyle w:val="AMFDate"/>
        <w:ind w:left="0"/>
        <w:jc w:val="both"/>
        <w:rPr>
          <w:rFonts w:asciiTheme="minorHAnsi" w:hAnsiTheme="minorHAnsi" w:cstheme="minorHAnsi"/>
          <w:b w:val="0"/>
        </w:rPr>
      </w:pPr>
      <w:r w:rsidRPr="003F1091">
        <w:rPr>
          <w:rFonts w:asciiTheme="minorHAnsi" w:hAnsiTheme="minorHAnsi" w:cstheme="minorHAnsi"/>
          <w:b w:val="0"/>
        </w:rPr>
        <w:t xml:space="preserve">Ce document constitue l’annexe 2-1 de l’instruction AMF </w:t>
      </w:r>
      <w:r w:rsidR="005E720F">
        <w:rPr>
          <w:rFonts w:asciiTheme="minorHAnsi" w:hAnsiTheme="minorHAnsi" w:cstheme="minorHAnsi"/>
          <w:b w:val="0"/>
        </w:rPr>
        <w:t>–</w:t>
      </w:r>
      <w:r w:rsidRPr="003F1091">
        <w:rPr>
          <w:rFonts w:asciiTheme="minorHAnsi" w:hAnsiTheme="minorHAnsi" w:cstheme="minorHAnsi"/>
          <w:b w:val="0"/>
        </w:rPr>
        <w:t xml:space="preserve"> Procédure</w:t>
      </w:r>
      <w:r w:rsidR="005E720F">
        <w:rPr>
          <w:rFonts w:asciiTheme="minorHAnsi" w:hAnsiTheme="minorHAnsi" w:cstheme="minorHAnsi"/>
          <w:b w:val="0"/>
        </w:rPr>
        <w:t>s de pré-commercialisation et</w:t>
      </w:r>
      <w:r w:rsidRPr="003F1091">
        <w:rPr>
          <w:rFonts w:asciiTheme="minorHAnsi" w:hAnsiTheme="minorHAnsi" w:cstheme="minorHAnsi"/>
          <w:b w:val="0"/>
        </w:rPr>
        <w:t xml:space="preserve"> de commercialisation de parts ou actions de FIA – DOC-2014-03</w:t>
      </w:r>
    </w:p>
    <w:p w:rsidR="003F1091" w:rsidRDefault="003F1091" w:rsidP="00684FDF">
      <w:pPr>
        <w:pStyle w:val="AMFDate"/>
        <w:ind w:left="0"/>
        <w:jc w:val="left"/>
        <w:rPr>
          <w:rFonts w:asciiTheme="minorHAnsi" w:hAnsiTheme="minorHAnsi" w:cstheme="minorHAnsi"/>
        </w:rPr>
      </w:pPr>
    </w:p>
    <w:p w:rsidR="003F1091" w:rsidRDefault="003F1091" w:rsidP="00684FDF">
      <w:pPr>
        <w:pStyle w:val="AMFDate"/>
        <w:ind w:left="0"/>
        <w:jc w:val="left"/>
        <w:rPr>
          <w:rFonts w:asciiTheme="minorHAnsi" w:hAnsiTheme="minorHAnsi" w:cstheme="minorHAnsi"/>
        </w:rPr>
      </w:pPr>
    </w:p>
    <w:p w:rsidR="003F1091" w:rsidRPr="003F1091" w:rsidRDefault="003F1091" w:rsidP="003F1091">
      <w:pPr>
        <w:pStyle w:val="AMFDoctrineEncadr"/>
      </w:pPr>
      <w:r w:rsidRPr="003F1091">
        <w:t xml:space="preserve">Ce document n’a pas été actualisé au regard des textes transposant la directive 2019/1160 du Parlement européen et du Conseil du 20 juin 2019. </w:t>
      </w:r>
    </w:p>
    <w:p w:rsidR="003F1091" w:rsidRPr="003F1091" w:rsidRDefault="003F1091" w:rsidP="003F1091">
      <w:pPr>
        <w:pStyle w:val="AMFDoctrineEncadr"/>
      </w:pPr>
      <w:r w:rsidRPr="003F1091">
        <w:t xml:space="preserve">Cette actualisation sera réalisée prochainement. </w:t>
      </w:r>
    </w:p>
    <w:p w:rsidR="005C6282" w:rsidRPr="00E126BF" w:rsidRDefault="003F1091" w:rsidP="005C6282">
      <w:pPr>
        <w:pStyle w:val="AMFDoctrineEncadr"/>
      </w:pPr>
      <w:r w:rsidRPr="003F1091">
        <w:t>La lettre de notification devra comporter les informations, y compris l'adresse, nécessaires à la facturation ou à la communication des éventuels frais ou charges réglementaires applicables par l’AMF, ainsi que les informations sur les facilités permettant d'exécuter les tâches visées à l'article 421-1</w:t>
      </w:r>
      <w:r>
        <w:t>4</w:t>
      </w:r>
      <w:r w:rsidRPr="003F1091">
        <w:t xml:space="preserve"> du règlement général de l’AMF.</w:t>
      </w:r>
    </w:p>
    <w:p w:rsidR="005C6282" w:rsidRPr="00091B62" w:rsidRDefault="005C6282" w:rsidP="00091B62">
      <w:pPr>
        <w:jc w:val="both"/>
        <w:rPr>
          <w:rFonts w:asciiTheme="minorHAnsi" w:hAnsiTheme="minorHAnsi" w:cstheme="minorHAnsi"/>
          <w:sz w:val="20"/>
          <w:szCs w:val="20"/>
        </w:rPr>
      </w:pPr>
    </w:p>
    <w:p w:rsidR="00091B62" w:rsidRPr="00091B62" w:rsidRDefault="00091B62" w:rsidP="00091B62">
      <w:pPr>
        <w:jc w:val="both"/>
        <w:rPr>
          <w:rFonts w:asciiTheme="minorHAnsi" w:hAnsiTheme="minorHAnsi" w:cstheme="minorHAnsi"/>
          <w:sz w:val="20"/>
          <w:szCs w:val="20"/>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NOTIFICATION OF INTENTION TO MARKET UNITS OR SHARES OF AN AIF or AIFs OF THE SAME AIFM IN A MEMBER STATE OTHER THAN THE HOME MEMBER STATE OF THE AIFM</w:t>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The information provided in this notification letter should not be ambiguous</w:t>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Are you notifying amendments to information already provided in an initial notification?   </w:t>
      </w: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Yes   </w:t>
      </w:r>
      <w:r w:rsidRPr="00091B62">
        <w:rPr>
          <w:rFonts w:asciiTheme="minorHAnsi" w:hAnsiTheme="minorHAnsi" w:cstheme="minorHAnsi"/>
          <w:b/>
          <w:sz w:val="20"/>
          <w:szCs w:val="20"/>
        </w:rPr>
        <w:fldChar w:fldCharType="begin">
          <w:ffData>
            <w:name w:val="Check15"/>
            <w:enabled/>
            <w:calcOnExit w:val="0"/>
            <w:checkBox>
              <w:sizeAuto/>
              <w:default w:val="0"/>
            </w:checkBox>
          </w:ffData>
        </w:fldChar>
      </w:r>
      <w:r w:rsidRPr="00091B62">
        <w:rPr>
          <w:rFonts w:asciiTheme="minorHAnsi" w:hAnsiTheme="minorHAnsi" w:cstheme="minorHAnsi"/>
          <w:b/>
          <w:sz w:val="20"/>
          <w:szCs w:val="20"/>
          <w:lang w:val="en-US"/>
        </w:rPr>
        <w:instrText xml:space="preserve"> FORMCHECKBOX </w:instrText>
      </w:r>
      <w:r w:rsidR="005E720F">
        <w:rPr>
          <w:rFonts w:asciiTheme="minorHAnsi" w:hAnsiTheme="minorHAnsi" w:cstheme="minorHAnsi"/>
          <w:b/>
          <w:sz w:val="20"/>
          <w:szCs w:val="20"/>
        </w:rPr>
      </w:r>
      <w:r w:rsidR="005E720F">
        <w:rPr>
          <w:rFonts w:asciiTheme="minorHAnsi" w:hAnsiTheme="minorHAnsi" w:cstheme="minorHAnsi"/>
          <w:b/>
          <w:sz w:val="20"/>
          <w:szCs w:val="20"/>
        </w:rPr>
        <w:fldChar w:fldCharType="separate"/>
      </w:r>
      <w:r w:rsidRPr="00091B62">
        <w:rPr>
          <w:rFonts w:asciiTheme="minorHAnsi" w:hAnsiTheme="minorHAnsi" w:cstheme="minorHAnsi"/>
          <w:sz w:val="20"/>
          <w:szCs w:val="20"/>
        </w:rPr>
        <w:fldChar w:fldCharType="end"/>
      </w:r>
      <w:r w:rsidRPr="00091B62">
        <w:rPr>
          <w:rFonts w:asciiTheme="minorHAnsi" w:hAnsiTheme="minorHAnsi" w:cstheme="minorHAnsi"/>
          <w:sz w:val="20"/>
          <w:szCs w:val="20"/>
          <w:lang w:val="en-US"/>
        </w:rPr>
        <w:t xml:space="preserve">    No </w:t>
      </w:r>
      <w:r w:rsidRPr="00091B62">
        <w:rPr>
          <w:rFonts w:asciiTheme="minorHAnsi" w:hAnsiTheme="minorHAnsi" w:cstheme="minorHAnsi"/>
          <w:b/>
          <w:sz w:val="20"/>
          <w:szCs w:val="20"/>
        </w:rPr>
        <w:fldChar w:fldCharType="begin">
          <w:ffData>
            <w:name w:val="Check15"/>
            <w:enabled/>
            <w:calcOnExit w:val="0"/>
            <w:checkBox>
              <w:sizeAuto/>
              <w:default w:val="0"/>
            </w:checkBox>
          </w:ffData>
        </w:fldChar>
      </w:r>
      <w:r w:rsidRPr="00091B62">
        <w:rPr>
          <w:rFonts w:asciiTheme="minorHAnsi" w:hAnsiTheme="minorHAnsi" w:cstheme="minorHAnsi"/>
          <w:b/>
          <w:sz w:val="20"/>
          <w:szCs w:val="20"/>
          <w:lang w:val="en-US"/>
        </w:rPr>
        <w:instrText xml:space="preserve"> FORMCHECKBOX </w:instrText>
      </w:r>
      <w:r w:rsidR="005E720F">
        <w:rPr>
          <w:rFonts w:asciiTheme="minorHAnsi" w:hAnsiTheme="minorHAnsi" w:cstheme="minorHAnsi"/>
          <w:b/>
          <w:sz w:val="20"/>
          <w:szCs w:val="20"/>
        </w:rPr>
      </w:r>
      <w:r w:rsidR="005E720F">
        <w:rPr>
          <w:rFonts w:asciiTheme="minorHAnsi" w:hAnsiTheme="minorHAnsi" w:cstheme="minorHAnsi"/>
          <w:b/>
          <w:sz w:val="20"/>
          <w:szCs w:val="20"/>
        </w:rPr>
        <w:fldChar w:fldCharType="separate"/>
      </w:r>
      <w:r w:rsidRPr="00091B62">
        <w:rPr>
          <w:rFonts w:asciiTheme="minorHAnsi" w:hAnsiTheme="minorHAnsi" w:cstheme="minorHAnsi"/>
          <w:sz w:val="20"/>
          <w:szCs w:val="20"/>
        </w:rPr>
        <w:fldChar w:fldCharType="end"/>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AIFM </w:t>
      </w:r>
      <w:proofErr w:type="gramStart"/>
      <w:r w:rsidRPr="00091B62">
        <w:rPr>
          <w:rFonts w:asciiTheme="minorHAnsi" w:hAnsiTheme="minorHAnsi" w:cstheme="minorHAnsi"/>
          <w:sz w:val="20"/>
          <w:szCs w:val="20"/>
          <w:lang w:val="en-US"/>
        </w:rPr>
        <w:t>name :</w:t>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r w:rsidRPr="00091B62">
        <w:rPr>
          <w:rFonts w:asciiTheme="minorHAnsi" w:hAnsiTheme="minorHAnsi" w:cstheme="minorHAnsi"/>
          <w:sz w:val="20"/>
          <w:szCs w:val="20"/>
          <w:lang w:val="en-US"/>
        </w:rPr>
        <w:softHyphen/>
      </w:r>
      <w:proofErr w:type="gramEnd"/>
      <w:r w:rsidRPr="00091B62">
        <w:rPr>
          <w:rFonts w:asciiTheme="minorHAnsi" w:hAnsiTheme="minorHAnsi" w:cstheme="minorHAnsi"/>
          <w:sz w:val="20"/>
          <w:szCs w:val="20"/>
          <w:lang w:val="en-US"/>
        </w:rPr>
        <w:t xml:space="preserve"> </w:t>
      </w: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____________________________________________________________________________________</w:t>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Contact details at the AIFM (registered address of the AIFM):</w:t>
      </w: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____________________________________________________________________________________</w:t>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Member State in which the AIFM intends to market the units or shares of the AIF to professional investors:</w:t>
      </w: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____________________________________________________________________________________</w:t>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Does the AIF(s) have compartments?  Yes  </w:t>
      </w:r>
      <w:r w:rsidRPr="00091B62">
        <w:rPr>
          <w:rFonts w:asciiTheme="minorHAnsi" w:hAnsiTheme="minorHAnsi" w:cstheme="minorHAnsi"/>
          <w:b/>
          <w:sz w:val="20"/>
          <w:szCs w:val="20"/>
        </w:rPr>
        <w:fldChar w:fldCharType="begin">
          <w:ffData>
            <w:name w:val="Check15"/>
            <w:enabled/>
            <w:calcOnExit w:val="0"/>
            <w:checkBox>
              <w:sizeAuto/>
              <w:default w:val="0"/>
            </w:checkBox>
          </w:ffData>
        </w:fldChar>
      </w:r>
      <w:r w:rsidRPr="00091B62">
        <w:rPr>
          <w:rFonts w:asciiTheme="minorHAnsi" w:hAnsiTheme="minorHAnsi" w:cstheme="minorHAnsi"/>
          <w:b/>
          <w:sz w:val="20"/>
          <w:szCs w:val="20"/>
          <w:lang w:val="en-US"/>
        </w:rPr>
        <w:instrText xml:space="preserve"> FORMCHECKBOX </w:instrText>
      </w:r>
      <w:r w:rsidR="005E720F">
        <w:rPr>
          <w:rFonts w:asciiTheme="minorHAnsi" w:hAnsiTheme="minorHAnsi" w:cstheme="minorHAnsi"/>
          <w:b/>
          <w:sz w:val="20"/>
          <w:szCs w:val="20"/>
        </w:rPr>
      </w:r>
      <w:r w:rsidR="005E720F">
        <w:rPr>
          <w:rFonts w:asciiTheme="minorHAnsi" w:hAnsiTheme="minorHAnsi" w:cstheme="minorHAnsi"/>
          <w:b/>
          <w:sz w:val="20"/>
          <w:szCs w:val="20"/>
        </w:rPr>
        <w:fldChar w:fldCharType="separate"/>
      </w:r>
      <w:r w:rsidRPr="00091B62">
        <w:rPr>
          <w:rFonts w:asciiTheme="minorHAnsi" w:hAnsiTheme="minorHAnsi" w:cstheme="minorHAnsi"/>
          <w:sz w:val="20"/>
          <w:szCs w:val="20"/>
        </w:rPr>
        <w:fldChar w:fldCharType="end"/>
      </w:r>
      <w:r w:rsidRPr="00091B62">
        <w:rPr>
          <w:rFonts w:asciiTheme="minorHAnsi" w:hAnsiTheme="minorHAnsi" w:cstheme="minorHAnsi"/>
          <w:sz w:val="20"/>
          <w:szCs w:val="20"/>
          <w:lang w:val="en-US"/>
        </w:rPr>
        <w:t xml:space="preserve">  No </w:t>
      </w:r>
      <w:r w:rsidRPr="00091B62">
        <w:rPr>
          <w:rFonts w:asciiTheme="minorHAnsi" w:hAnsiTheme="minorHAnsi" w:cstheme="minorHAnsi"/>
          <w:b/>
          <w:sz w:val="20"/>
          <w:szCs w:val="20"/>
        </w:rPr>
        <w:fldChar w:fldCharType="begin">
          <w:ffData>
            <w:name w:val="Check15"/>
            <w:enabled/>
            <w:calcOnExit w:val="0"/>
            <w:checkBox>
              <w:sizeAuto/>
              <w:default w:val="0"/>
            </w:checkBox>
          </w:ffData>
        </w:fldChar>
      </w:r>
      <w:r w:rsidRPr="00091B62">
        <w:rPr>
          <w:rFonts w:asciiTheme="minorHAnsi" w:hAnsiTheme="minorHAnsi" w:cstheme="minorHAnsi"/>
          <w:b/>
          <w:sz w:val="20"/>
          <w:szCs w:val="20"/>
          <w:lang w:val="en-US"/>
        </w:rPr>
        <w:instrText xml:space="preserve"> FORMCHECKBOX </w:instrText>
      </w:r>
      <w:r w:rsidR="005E720F">
        <w:rPr>
          <w:rFonts w:asciiTheme="minorHAnsi" w:hAnsiTheme="minorHAnsi" w:cstheme="minorHAnsi"/>
          <w:b/>
          <w:sz w:val="20"/>
          <w:szCs w:val="20"/>
        </w:rPr>
      </w:r>
      <w:r w:rsidR="005E720F">
        <w:rPr>
          <w:rFonts w:asciiTheme="minorHAnsi" w:hAnsiTheme="minorHAnsi" w:cstheme="minorHAnsi"/>
          <w:b/>
          <w:sz w:val="20"/>
          <w:szCs w:val="20"/>
        </w:rPr>
        <w:fldChar w:fldCharType="separate"/>
      </w:r>
      <w:r w:rsidRPr="00091B62">
        <w:rPr>
          <w:rFonts w:asciiTheme="minorHAnsi" w:hAnsiTheme="minorHAnsi" w:cstheme="minorHAnsi"/>
          <w:sz w:val="20"/>
          <w:szCs w:val="20"/>
        </w:rPr>
        <w:fldChar w:fldCharType="end"/>
      </w:r>
    </w:p>
    <w:p w:rsidR="00922AD8" w:rsidRDefault="00922AD8" w:rsidP="00091B62">
      <w:pPr>
        <w:jc w:val="both"/>
        <w:rPr>
          <w:rFonts w:asciiTheme="minorHAnsi" w:hAnsiTheme="minorHAnsi" w:cstheme="minorHAnsi"/>
          <w:sz w:val="20"/>
          <w:szCs w:val="20"/>
        </w:rPr>
      </w:pPr>
    </w:p>
    <w:p w:rsidR="00091B62" w:rsidRDefault="00091B62" w:rsidP="00091B62">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018"/>
        <w:gridCol w:w="1213"/>
        <w:gridCol w:w="1166"/>
        <w:gridCol w:w="1535"/>
        <w:gridCol w:w="1416"/>
        <w:gridCol w:w="1336"/>
      </w:tblGrid>
      <w:tr w:rsidR="00091B62" w:rsidRPr="00091B62" w:rsidTr="001B4C4E">
        <w:tc>
          <w:tcPr>
            <w:tcW w:w="522" w:type="pct"/>
            <w:shd w:val="clear" w:color="auto" w:fill="auto"/>
          </w:tcPr>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Name of the AIF or AIFs/or compartment(s) to be marketed </w:t>
            </w:r>
            <w:r w:rsidRPr="00091B62">
              <w:rPr>
                <w:rFonts w:asciiTheme="minorHAnsi" w:hAnsiTheme="minorHAnsi" w:cstheme="minorHAnsi"/>
                <w:sz w:val="20"/>
                <w:szCs w:val="20"/>
                <w:lang w:val="en-US"/>
              </w:rPr>
              <w:lastRenderedPageBreak/>
              <w:t>in the host Member State</w:t>
            </w:r>
            <w:r w:rsidRPr="00091B62">
              <w:rPr>
                <w:rFonts w:asciiTheme="minorHAnsi" w:hAnsiTheme="minorHAnsi" w:cstheme="minorHAnsi"/>
                <w:sz w:val="20"/>
                <w:szCs w:val="20"/>
                <w:vertAlign w:val="superscript"/>
              </w:rPr>
              <w:footnoteReference w:id="1"/>
            </w:r>
          </w:p>
        </w:tc>
        <w:tc>
          <w:tcPr>
            <w:tcW w:w="629" w:type="pct"/>
            <w:shd w:val="clear" w:color="auto" w:fill="auto"/>
          </w:tcPr>
          <w:p w:rsidR="00091B62" w:rsidRPr="00091B62" w:rsidRDefault="00091B62" w:rsidP="00091B62">
            <w:pPr>
              <w:jc w:val="both"/>
              <w:rPr>
                <w:rFonts w:asciiTheme="minorHAnsi" w:hAnsiTheme="minorHAnsi" w:cstheme="minorHAnsi"/>
                <w:sz w:val="20"/>
                <w:szCs w:val="20"/>
              </w:rPr>
            </w:pPr>
            <w:r w:rsidRPr="00091B62">
              <w:rPr>
                <w:rFonts w:asciiTheme="minorHAnsi" w:hAnsiTheme="minorHAnsi" w:cstheme="minorHAnsi"/>
                <w:sz w:val="20"/>
                <w:szCs w:val="20"/>
              </w:rPr>
              <w:lastRenderedPageBreak/>
              <w:t xml:space="preserve">AIF home </w:t>
            </w:r>
            <w:proofErr w:type="spellStart"/>
            <w:r w:rsidRPr="00091B62">
              <w:rPr>
                <w:rFonts w:asciiTheme="minorHAnsi" w:hAnsiTheme="minorHAnsi" w:cstheme="minorHAnsi"/>
                <w:sz w:val="20"/>
                <w:szCs w:val="20"/>
              </w:rPr>
              <w:t>Member</w:t>
            </w:r>
            <w:proofErr w:type="spellEnd"/>
            <w:r w:rsidRPr="00091B62">
              <w:rPr>
                <w:rFonts w:asciiTheme="minorHAnsi" w:hAnsiTheme="minorHAnsi" w:cstheme="minorHAnsi"/>
                <w:sz w:val="20"/>
                <w:szCs w:val="20"/>
              </w:rPr>
              <w:t xml:space="preserve"> State</w:t>
            </w:r>
          </w:p>
        </w:tc>
        <w:tc>
          <w:tcPr>
            <w:tcW w:w="688" w:type="pct"/>
            <w:shd w:val="clear" w:color="auto" w:fill="auto"/>
          </w:tcPr>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Legal form (common fund, unit trust, investment company, </w:t>
            </w:r>
            <w:r w:rsidRPr="00091B62">
              <w:rPr>
                <w:rFonts w:asciiTheme="minorHAnsi" w:hAnsiTheme="minorHAnsi" w:cstheme="minorHAnsi"/>
                <w:sz w:val="20"/>
                <w:szCs w:val="20"/>
                <w:lang w:val="en-US"/>
              </w:rPr>
              <w:lastRenderedPageBreak/>
              <w:t>partnership, other (please specify))</w:t>
            </w:r>
          </w:p>
        </w:tc>
        <w:tc>
          <w:tcPr>
            <w:tcW w:w="756" w:type="pct"/>
          </w:tcPr>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lastRenderedPageBreak/>
              <w:t>Name of the depositary of the AIF</w:t>
            </w:r>
            <w:r w:rsidRPr="00091B62">
              <w:rPr>
                <w:rFonts w:asciiTheme="minorHAnsi" w:hAnsiTheme="minorHAnsi" w:cstheme="minorHAnsi"/>
                <w:sz w:val="20"/>
                <w:szCs w:val="20"/>
                <w:vertAlign w:val="superscript"/>
              </w:rPr>
              <w:footnoteReference w:id="2"/>
            </w:r>
          </w:p>
        </w:tc>
        <w:tc>
          <w:tcPr>
            <w:tcW w:w="758" w:type="pct"/>
            <w:shd w:val="clear" w:color="auto" w:fill="auto"/>
          </w:tcPr>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Name of the master AIF/or compartment(s) (if applicable)</w:t>
            </w:r>
          </w:p>
        </w:tc>
        <w:tc>
          <w:tcPr>
            <w:tcW w:w="845" w:type="pct"/>
            <w:shd w:val="clear" w:color="auto" w:fill="auto"/>
          </w:tcPr>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Home Member State of the master AIF (if applicable)</w:t>
            </w:r>
          </w:p>
        </w:tc>
        <w:tc>
          <w:tcPr>
            <w:tcW w:w="801" w:type="pct"/>
            <w:shd w:val="clear" w:color="auto" w:fill="auto"/>
          </w:tcPr>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AIF’s investment strategy (please specify the predominant </w:t>
            </w:r>
            <w:r w:rsidRPr="00091B62">
              <w:rPr>
                <w:rFonts w:asciiTheme="minorHAnsi" w:hAnsiTheme="minorHAnsi" w:cstheme="minorHAnsi"/>
                <w:sz w:val="20"/>
                <w:szCs w:val="20"/>
                <w:lang w:val="en-US"/>
              </w:rPr>
              <w:lastRenderedPageBreak/>
              <w:t>AIF and the breakdown by investment strategies as set out in the reporting template included in Regulation 231/2013)</w:t>
            </w:r>
          </w:p>
        </w:tc>
      </w:tr>
      <w:tr w:rsidR="00091B62" w:rsidRPr="00091B62" w:rsidTr="001B4C4E">
        <w:tc>
          <w:tcPr>
            <w:tcW w:w="522"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629"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688"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756" w:type="pct"/>
          </w:tcPr>
          <w:p w:rsidR="00091B62" w:rsidRPr="00091B62" w:rsidRDefault="00091B62" w:rsidP="00091B62">
            <w:pPr>
              <w:jc w:val="both"/>
              <w:rPr>
                <w:rFonts w:asciiTheme="minorHAnsi" w:hAnsiTheme="minorHAnsi" w:cstheme="minorHAnsi"/>
                <w:sz w:val="20"/>
                <w:szCs w:val="20"/>
                <w:lang w:val="en-US"/>
              </w:rPr>
            </w:pPr>
          </w:p>
        </w:tc>
        <w:tc>
          <w:tcPr>
            <w:tcW w:w="758"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845"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801" w:type="pct"/>
            <w:shd w:val="clear" w:color="auto" w:fill="auto"/>
          </w:tcPr>
          <w:p w:rsidR="00091B62" w:rsidRPr="00091B62" w:rsidRDefault="00091B62" w:rsidP="00091B62">
            <w:pPr>
              <w:jc w:val="both"/>
              <w:rPr>
                <w:rFonts w:asciiTheme="minorHAnsi" w:hAnsiTheme="minorHAnsi" w:cstheme="minorHAnsi"/>
                <w:sz w:val="20"/>
                <w:szCs w:val="20"/>
                <w:lang w:val="en-US"/>
              </w:rPr>
            </w:pPr>
          </w:p>
        </w:tc>
      </w:tr>
      <w:tr w:rsidR="00091B62" w:rsidRPr="00091B62" w:rsidTr="001B4C4E">
        <w:tc>
          <w:tcPr>
            <w:tcW w:w="522"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629"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688"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756" w:type="pct"/>
          </w:tcPr>
          <w:p w:rsidR="00091B62" w:rsidRPr="00091B62" w:rsidRDefault="00091B62" w:rsidP="00091B62">
            <w:pPr>
              <w:jc w:val="both"/>
              <w:rPr>
                <w:rFonts w:asciiTheme="minorHAnsi" w:hAnsiTheme="minorHAnsi" w:cstheme="minorHAnsi"/>
                <w:sz w:val="20"/>
                <w:szCs w:val="20"/>
                <w:lang w:val="en-US"/>
              </w:rPr>
            </w:pPr>
          </w:p>
        </w:tc>
        <w:tc>
          <w:tcPr>
            <w:tcW w:w="758"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845"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801" w:type="pct"/>
            <w:shd w:val="clear" w:color="auto" w:fill="auto"/>
          </w:tcPr>
          <w:p w:rsidR="00091B62" w:rsidRPr="00091B62" w:rsidRDefault="00091B62" w:rsidP="00091B62">
            <w:pPr>
              <w:jc w:val="both"/>
              <w:rPr>
                <w:rFonts w:asciiTheme="minorHAnsi" w:hAnsiTheme="minorHAnsi" w:cstheme="minorHAnsi"/>
                <w:sz w:val="20"/>
                <w:szCs w:val="20"/>
                <w:lang w:val="en-US"/>
              </w:rPr>
            </w:pPr>
          </w:p>
        </w:tc>
      </w:tr>
      <w:tr w:rsidR="00091B62" w:rsidRPr="00091B62" w:rsidTr="001B4C4E">
        <w:tc>
          <w:tcPr>
            <w:tcW w:w="522"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629"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688"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756" w:type="pct"/>
          </w:tcPr>
          <w:p w:rsidR="00091B62" w:rsidRPr="00091B62" w:rsidRDefault="00091B62" w:rsidP="00091B62">
            <w:pPr>
              <w:jc w:val="both"/>
              <w:rPr>
                <w:rFonts w:asciiTheme="minorHAnsi" w:hAnsiTheme="minorHAnsi" w:cstheme="minorHAnsi"/>
                <w:sz w:val="20"/>
                <w:szCs w:val="20"/>
                <w:lang w:val="en-US"/>
              </w:rPr>
            </w:pPr>
          </w:p>
        </w:tc>
        <w:tc>
          <w:tcPr>
            <w:tcW w:w="758"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845" w:type="pct"/>
            <w:shd w:val="clear" w:color="auto" w:fill="auto"/>
          </w:tcPr>
          <w:p w:rsidR="00091B62" w:rsidRPr="00091B62" w:rsidRDefault="00091B62" w:rsidP="00091B62">
            <w:pPr>
              <w:jc w:val="both"/>
              <w:rPr>
                <w:rFonts w:asciiTheme="minorHAnsi" w:hAnsiTheme="minorHAnsi" w:cstheme="minorHAnsi"/>
                <w:sz w:val="20"/>
                <w:szCs w:val="20"/>
                <w:lang w:val="en-US"/>
              </w:rPr>
            </w:pPr>
          </w:p>
        </w:tc>
        <w:tc>
          <w:tcPr>
            <w:tcW w:w="801" w:type="pct"/>
            <w:shd w:val="clear" w:color="auto" w:fill="auto"/>
          </w:tcPr>
          <w:p w:rsidR="00091B62" w:rsidRPr="00091B62" w:rsidRDefault="00091B62" w:rsidP="00091B62">
            <w:pPr>
              <w:jc w:val="both"/>
              <w:rPr>
                <w:rFonts w:asciiTheme="minorHAnsi" w:hAnsiTheme="minorHAnsi" w:cstheme="minorHAnsi"/>
                <w:sz w:val="20"/>
                <w:szCs w:val="20"/>
                <w:lang w:val="en-US"/>
              </w:rPr>
            </w:pPr>
          </w:p>
        </w:tc>
      </w:tr>
    </w:tbl>
    <w:p w:rsidR="00091B62" w:rsidRPr="00091B62" w:rsidRDefault="00091B62" w:rsidP="00091B62">
      <w:pPr>
        <w:jc w:val="both"/>
        <w:rPr>
          <w:rFonts w:asciiTheme="minorHAnsi" w:hAnsiTheme="minorHAnsi" w:cstheme="minorHAnsi"/>
          <w:sz w:val="20"/>
          <w:szCs w:val="20"/>
        </w:rPr>
      </w:pPr>
    </w:p>
    <w:p w:rsidR="00922AD8" w:rsidRDefault="00922AD8" w:rsidP="00091B62">
      <w:pPr>
        <w:jc w:val="both"/>
        <w:rPr>
          <w:rFonts w:asciiTheme="minorHAnsi" w:hAnsiTheme="minorHAnsi" w:cstheme="minorHAnsi"/>
          <w:sz w:val="20"/>
          <w:szCs w:val="20"/>
        </w:rPr>
      </w:pPr>
    </w:p>
    <w:p w:rsidR="00091B62" w:rsidRDefault="00091B62" w:rsidP="00091B62">
      <w:pPr>
        <w:jc w:val="both"/>
        <w:rPr>
          <w:rFonts w:asciiTheme="minorHAnsi" w:hAnsiTheme="minorHAnsi" w:cstheme="minorHAnsi"/>
          <w:sz w:val="20"/>
          <w:szCs w:val="20"/>
        </w:rPr>
      </w:pPr>
    </w:p>
    <w:p w:rsidR="00091B62" w:rsidRPr="00091B62" w:rsidRDefault="00091B62" w:rsidP="00091B62">
      <w:pPr>
        <w:jc w:val="both"/>
        <w:rPr>
          <w:rFonts w:asciiTheme="minorHAnsi" w:hAnsiTheme="minorHAnsi" w:cstheme="minorHAnsi"/>
          <w:sz w:val="20"/>
          <w:szCs w:val="20"/>
          <w:lang w:val="en-US"/>
        </w:rPr>
      </w:pPr>
      <w:r w:rsidRPr="00091B62">
        <w:rPr>
          <w:rFonts w:asciiTheme="minorHAnsi" w:hAnsiTheme="minorHAnsi" w:cstheme="minorHAnsi"/>
          <w:sz w:val="20"/>
          <w:szCs w:val="20"/>
          <w:lang w:val="en-US"/>
        </w:rPr>
        <w:t xml:space="preserve">Information on the arrangements established to prevent units or shares of the AIF from </w:t>
      </w:r>
      <w:proofErr w:type="gramStart"/>
      <w:r w:rsidRPr="00091B62">
        <w:rPr>
          <w:rFonts w:asciiTheme="minorHAnsi" w:hAnsiTheme="minorHAnsi" w:cstheme="minorHAnsi"/>
          <w:sz w:val="20"/>
          <w:szCs w:val="20"/>
          <w:lang w:val="en-US"/>
        </w:rPr>
        <w:t>being marketed</w:t>
      </w:r>
      <w:proofErr w:type="gramEnd"/>
      <w:r w:rsidRPr="00091B62">
        <w:rPr>
          <w:rFonts w:asciiTheme="minorHAnsi" w:hAnsiTheme="minorHAnsi" w:cstheme="minorHAnsi"/>
          <w:sz w:val="20"/>
          <w:szCs w:val="20"/>
          <w:lang w:val="en-US"/>
        </w:rPr>
        <w:t xml:space="preserve"> to retail investors, including in the case where the AIFM relies on activities of independent entities to provide investment services in respect of the AIF:</w:t>
      </w:r>
    </w:p>
    <w:p w:rsidR="00091B62" w:rsidRPr="00091B62" w:rsidRDefault="00091B62" w:rsidP="00091B62">
      <w:pPr>
        <w:jc w:val="both"/>
        <w:rPr>
          <w:rFonts w:asciiTheme="minorHAnsi" w:hAnsiTheme="minorHAnsi" w:cstheme="minorHAnsi"/>
          <w:sz w:val="20"/>
          <w:szCs w:val="20"/>
          <w:lang w:val="en-US"/>
        </w:rPr>
      </w:pPr>
    </w:p>
    <w:p w:rsidR="00091B62" w:rsidRPr="00091B62" w:rsidRDefault="00091B62" w:rsidP="00091B62">
      <w:pPr>
        <w:jc w:val="both"/>
        <w:rPr>
          <w:rFonts w:asciiTheme="minorHAnsi" w:hAnsiTheme="minorHAnsi" w:cstheme="minorHAnsi"/>
          <w:sz w:val="20"/>
          <w:szCs w:val="20"/>
        </w:rPr>
      </w:pPr>
      <w:r w:rsidRPr="00091B62">
        <w:rPr>
          <w:rFonts w:asciiTheme="minorHAnsi" w:hAnsiTheme="minorHAnsi" w:cstheme="minorHAnsi"/>
          <w:sz w:val="20"/>
          <w:szCs w:val="20"/>
        </w:rPr>
        <w:t>____________________________________________________________________________________________________</w:t>
      </w:r>
    </w:p>
    <w:p w:rsidR="00091B62" w:rsidRPr="00091B62" w:rsidRDefault="00091B62" w:rsidP="00091B62">
      <w:pPr>
        <w:jc w:val="both"/>
        <w:rPr>
          <w:rFonts w:asciiTheme="minorHAnsi" w:hAnsiTheme="minorHAnsi" w:cstheme="minorHAnsi"/>
          <w:sz w:val="20"/>
          <w:szCs w:val="20"/>
        </w:rPr>
      </w:pPr>
    </w:p>
    <w:p w:rsidR="00922AD8" w:rsidRPr="00091B62" w:rsidRDefault="00922AD8" w:rsidP="00091B62">
      <w:pPr>
        <w:jc w:val="both"/>
        <w:rPr>
          <w:rFonts w:asciiTheme="minorHAnsi" w:hAnsiTheme="minorHAnsi" w:cstheme="minorHAnsi"/>
          <w:sz w:val="20"/>
          <w:szCs w:val="20"/>
        </w:rPr>
      </w:pPr>
    </w:p>
    <w:p w:rsidR="00922AD8" w:rsidRPr="00091B62" w:rsidRDefault="00922AD8" w:rsidP="00091B62">
      <w:pPr>
        <w:jc w:val="both"/>
        <w:rPr>
          <w:rFonts w:asciiTheme="minorHAnsi" w:hAnsiTheme="minorHAnsi" w:cstheme="minorHAnsi"/>
          <w:sz w:val="20"/>
          <w:szCs w:val="20"/>
        </w:rPr>
      </w:pPr>
    </w:p>
    <w:p w:rsidR="00922AD8" w:rsidRPr="00091B62" w:rsidRDefault="00922AD8" w:rsidP="00091B62">
      <w:pPr>
        <w:jc w:val="both"/>
        <w:rPr>
          <w:rFonts w:asciiTheme="minorHAnsi" w:hAnsiTheme="minorHAnsi" w:cstheme="minorHAnsi"/>
          <w:sz w:val="20"/>
          <w:szCs w:val="20"/>
        </w:rPr>
      </w:pPr>
    </w:p>
    <w:sectPr w:rsidR="00922AD8" w:rsidRPr="00091B62"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1C" w:rsidRDefault="00837D1C">
      <w:r>
        <w:separator/>
      </w:r>
    </w:p>
  </w:endnote>
  <w:endnote w:type="continuationSeparator" w:id="0">
    <w:p w:rsidR="00837D1C" w:rsidRDefault="008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57192"/>
      <w:docPartObj>
        <w:docPartGallery w:val="Page Numbers (Bottom of Page)"/>
        <w:docPartUnique/>
      </w:docPartObj>
    </w:sdtPr>
    <w:sdtEndPr/>
    <w:sdtContent>
      <w:p w:rsidR="000E2F4A" w:rsidRDefault="000E2F4A">
        <w:pPr>
          <w:pStyle w:val="Pieddepage"/>
          <w:jc w:val="right"/>
        </w:pPr>
        <w:r w:rsidRPr="000E2F4A">
          <w:rPr>
            <w:rFonts w:asciiTheme="minorHAnsi" w:hAnsiTheme="minorHAnsi" w:cstheme="minorHAnsi"/>
            <w:sz w:val="16"/>
            <w:szCs w:val="16"/>
          </w:rPr>
          <w:fldChar w:fldCharType="begin"/>
        </w:r>
        <w:r w:rsidRPr="000E2F4A">
          <w:rPr>
            <w:rFonts w:asciiTheme="minorHAnsi" w:hAnsiTheme="minorHAnsi" w:cstheme="minorHAnsi"/>
            <w:sz w:val="16"/>
            <w:szCs w:val="16"/>
          </w:rPr>
          <w:instrText>PAGE   \* MERGEFORMAT</w:instrText>
        </w:r>
        <w:r w:rsidRPr="000E2F4A">
          <w:rPr>
            <w:rFonts w:asciiTheme="minorHAnsi" w:hAnsiTheme="minorHAnsi" w:cstheme="minorHAnsi"/>
            <w:sz w:val="16"/>
            <w:szCs w:val="16"/>
          </w:rPr>
          <w:fldChar w:fldCharType="separate"/>
        </w:r>
        <w:r w:rsidR="005E720F">
          <w:rPr>
            <w:rFonts w:asciiTheme="minorHAnsi" w:hAnsiTheme="minorHAnsi" w:cstheme="minorHAnsi"/>
            <w:noProof/>
            <w:sz w:val="16"/>
            <w:szCs w:val="16"/>
          </w:rPr>
          <w:t>2</w:t>
        </w:r>
        <w:r w:rsidRPr="000E2F4A">
          <w:rPr>
            <w:rFonts w:asciiTheme="minorHAnsi" w:hAnsiTheme="minorHAnsi" w:cstheme="minorHAnsi"/>
            <w:sz w:val="16"/>
            <w:szCs w:val="16"/>
          </w:rPr>
          <w:fldChar w:fldCharType="end"/>
        </w:r>
        <w:r>
          <w:rPr>
            <w:rFonts w:asciiTheme="minorHAnsi" w:hAnsiTheme="minorHAnsi" w:cstheme="minorHAnsi"/>
            <w:sz w:val="16"/>
            <w:szCs w:val="16"/>
          </w:rPr>
          <w:t>/2</w:t>
        </w:r>
      </w:p>
    </w:sdtContent>
  </w:sdt>
  <w:p w:rsidR="000E2F4A" w:rsidRDefault="000E2F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505656"/>
      <w:docPartObj>
        <w:docPartGallery w:val="Page Numbers (Bottom of Page)"/>
        <w:docPartUnique/>
      </w:docPartObj>
    </w:sdtPr>
    <w:sdtEndPr/>
    <w:sdtContent>
      <w:p w:rsidR="000E2F4A" w:rsidRDefault="000E2F4A">
        <w:pPr>
          <w:pStyle w:val="Pieddepage"/>
          <w:jc w:val="right"/>
        </w:pPr>
        <w:r w:rsidRPr="000E2F4A">
          <w:rPr>
            <w:rFonts w:asciiTheme="minorHAnsi" w:hAnsiTheme="minorHAnsi" w:cstheme="minorHAnsi"/>
            <w:sz w:val="16"/>
            <w:szCs w:val="16"/>
          </w:rPr>
          <w:fldChar w:fldCharType="begin"/>
        </w:r>
        <w:r w:rsidRPr="000E2F4A">
          <w:rPr>
            <w:rFonts w:asciiTheme="minorHAnsi" w:hAnsiTheme="minorHAnsi" w:cstheme="minorHAnsi"/>
            <w:sz w:val="16"/>
            <w:szCs w:val="16"/>
          </w:rPr>
          <w:instrText>PAGE   \* MERGEFORMAT</w:instrText>
        </w:r>
        <w:r w:rsidRPr="000E2F4A">
          <w:rPr>
            <w:rFonts w:asciiTheme="minorHAnsi" w:hAnsiTheme="minorHAnsi" w:cstheme="minorHAnsi"/>
            <w:sz w:val="16"/>
            <w:szCs w:val="16"/>
          </w:rPr>
          <w:fldChar w:fldCharType="separate"/>
        </w:r>
        <w:r w:rsidR="005E720F">
          <w:rPr>
            <w:rFonts w:asciiTheme="minorHAnsi" w:hAnsiTheme="minorHAnsi" w:cstheme="minorHAnsi"/>
            <w:noProof/>
            <w:sz w:val="16"/>
            <w:szCs w:val="16"/>
          </w:rPr>
          <w:t>1</w:t>
        </w:r>
        <w:r w:rsidRPr="000E2F4A">
          <w:rPr>
            <w:rFonts w:asciiTheme="minorHAnsi" w:hAnsiTheme="minorHAnsi" w:cstheme="minorHAnsi"/>
            <w:sz w:val="16"/>
            <w:szCs w:val="16"/>
          </w:rPr>
          <w:fldChar w:fldCharType="end"/>
        </w:r>
        <w:r>
          <w:rPr>
            <w:rFonts w:asciiTheme="minorHAnsi" w:hAnsiTheme="minorHAnsi" w:cstheme="minorHAnsi"/>
            <w:sz w:val="16"/>
            <w:szCs w:val="16"/>
          </w:rPr>
          <w:t>/2</w:t>
        </w:r>
      </w:p>
    </w:sdtContent>
  </w:sdt>
  <w:p w:rsidR="000E2F4A" w:rsidRDefault="000E2F4A" w:rsidP="000E2F4A">
    <w:pPr>
      <w:pStyle w:val="Pieddepage"/>
      <w:tabs>
        <w:tab w:val="clear" w:pos="4536"/>
        <w:tab w:val="clear" w:pos="9072"/>
        <w:tab w:val="left" w:pos="566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1C" w:rsidRDefault="00837D1C">
      <w:r>
        <w:separator/>
      </w:r>
    </w:p>
  </w:footnote>
  <w:footnote w:type="continuationSeparator" w:id="0">
    <w:p w:rsidR="00837D1C" w:rsidRDefault="00837D1C">
      <w:r>
        <w:continuationSeparator/>
      </w:r>
    </w:p>
  </w:footnote>
  <w:footnote w:id="1">
    <w:p w:rsidR="00091B62" w:rsidRPr="00091B62" w:rsidRDefault="00091B62" w:rsidP="00091B62">
      <w:pPr>
        <w:jc w:val="both"/>
        <w:rPr>
          <w:rFonts w:asciiTheme="minorHAnsi" w:hAnsiTheme="minorHAnsi" w:cstheme="minorHAnsi"/>
          <w:i/>
          <w:sz w:val="16"/>
          <w:szCs w:val="16"/>
        </w:rPr>
      </w:pPr>
      <w:r w:rsidRPr="00091B62">
        <w:rPr>
          <w:rFonts w:asciiTheme="minorHAnsi" w:hAnsiTheme="minorHAnsi" w:cstheme="minorHAnsi"/>
          <w:i/>
          <w:sz w:val="16"/>
          <w:szCs w:val="16"/>
          <w:vertAlign w:val="superscript"/>
        </w:rPr>
        <w:footnoteRef/>
      </w:r>
      <w:r w:rsidRPr="00091B62">
        <w:rPr>
          <w:rFonts w:asciiTheme="minorHAnsi" w:hAnsiTheme="minorHAnsi" w:cstheme="minorHAnsi"/>
          <w:i/>
          <w:sz w:val="16"/>
          <w:szCs w:val="16"/>
          <w:vertAlign w:val="superscript"/>
        </w:rPr>
        <w:t xml:space="preserve"> </w:t>
      </w:r>
      <w:r w:rsidRPr="00091B62">
        <w:rPr>
          <w:rFonts w:asciiTheme="minorHAnsi" w:hAnsiTheme="minorHAnsi" w:cstheme="minorHAnsi"/>
          <w:i/>
          <w:sz w:val="16"/>
          <w:szCs w:val="16"/>
        </w:rPr>
        <w:t xml:space="preserve">If the AIF </w:t>
      </w:r>
      <w:proofErr w:type="spellStart"/>
      <w:r w:rsidRPr="00091B62">
        <w:rPr>
          <w:rFonts w:asciiTheme="minorHAnsi" w:hAnsiTheme="minorHAnsi" w:cstheme="minorHAnsi"/>
          <w:i/>
          <w:sz w:val="16"/>
          <w:szCs w:val="16"/>
        </w:rPr>
        <w:t>takes</w:t>
      </w:r>
      <w:proofErr w:type="spellEnd"/>
      <w:r w:rsidRPr="00091B62">
        <w:rPr>
          <w:rFonts w:asciiTheme="minorHAnsi" w:hAnsiTheme="minorHAnsi" w:cstheme="minorHAnsi"/>
          <w:i/>
          <w:sz w:val="16"/>
          <w:szCs w:val="16"/>
        </w:rPr>
        <w:t xml:space="preserve"> the </w:t>
      </w:r>
      <w:proofErr w:type="spellStart"/>
      <w:r w:rsidRPr="00091B62">
        <w:rPr>
          <w:rFonts w:asciiTheme="minorHAnsi" w:hAnsiTheme="minorHAnsi" w:cstheme="minorHAnsi"/>
          <w:i/>
          <w:sz w:val="16"/>
          <w:szCs w:val="16"/>
        </w:rPr>
        <w:t>form</w:t>
      </w:r>
      <w:proofErr w:type="spellEnd"/>
      <w:r w:rsidRPr="00091B62">
        <w:rPr>
          <w:rFonts w:asciiTheme="minorHAnsi" w:hAnsiTheme="minorHAnsi" w:cstheme="minorHAnsi"/>
          <w:i/>
          <w:sz w:val="16"/>
          <w:szCs w:val="16"/>
        </w:rPr>
        <w:t xml:space="preserve"> of an </w:t>
      </w:r>
      <w:proofErr w:type="spellStart"/>
      <w:r w:rsidRPr="00091B62">
        <w:rPr>
          <w:rFonts w:asciiTheme="minorHAnsi" w:hAnsiTheme="minorHAnsi" w:cstheme="minorHAnsi"/>
          <w:i/>
          <w:sz w:val="16"/>
          <w:szCs w:val="16"/>
        </w:rPr>
        <w:t>umbrella</w:t>
      </w:r>
      <w:proofErr w:type="spellEnd"/>
      <w:r w:rsidRPr="00091B62">
        <w:rPr>
          <w:rFonts w:asciiTheme="minorHAnsi" w:hAnsiTheme="minorHAnsi" w:cstheme="minorHAnsi"/>
          <w:i/>
          <w:sz w:val="16"/>
          <w:szCs w:val="16"/>
        </w:rPr>
        <w:t xml:space="preserve"> AIF </w:t>
      </w:r>
      <w:proofErr w:type="spellStart"/>
      <w:r w:rsidRPr="00091B62">
        <w:rPr>
          <w:rFonts w:asciiTheme="minorHAnsi" w:hAnsiTheme="minorHAnsi" w:cstheme="minorHAnsi"/>
          <w:i/>
          <w:sz w:val="16"/>
          <w:szCs w:val="16"/>
        </w:rPr>
        <w:t>with</w:t>
      </w:r>
      <w:proofErr w:type="spellEnd"/>
      <w:r w:rsidRPr="00091B62">
        <w:rPr>
          <w:rFonts w:asciiTheme="minorHAnsi" w:hAnsiTheme="minorHAnsi" w:cstheme="minorHAnsi"/>
          <w:i/>
          <w:sz w:val="16"/>
          <w:szCs w:val="16"/>
        </w:rPr>
        <w:t xml:space="preserve"> multiple </w:t>
      </w:r>
      <w:proofErr w:type="spellStart"/>
      <w:r w:rsidRPr="00091B62">
        <w:rPr>
          <w:rFonts w:asciiTheme="minorHAnsi" w:hAnsiTheme="minorHAnsi" w:cstheme="minorHAnsi"/>
          <w:i/>
          <w:sz w:val="16"/>
          <w:szCs w:val="16"/>
        </w:rPr>
        <w:t>compartments</w:t>
      </w:r>
      <w:proofErr w:type="spellEnd"/>
      <w:r w:rsidRPr="00091B62">
        <w:rPr>
          <w:rFonts w:asciiTheme="minorHAnsi" w:hAnsiTheme="minorHAnsi" w:cstheme="minorHAnsi"/>
          <w:i/>
          <w:sz w:val="16"/>
          <w:szCs w:val="16"/>
        </w:rPr>
        <w:t xml:space="preserve">, </w:t>
      </w:r>
      <w:proofErr w:type="spellStart"/>
      <w:r w:rsidRPr="00091B62">
        <w:rPr>
          <w:rFonts w:asciiTheme="minorHAnsi" w:hAnsiTheme="minorHAnsi" w:cstheme="minorHAnsi"/>
          <w:i/>
          <w:sz w:val="16"/>
          <w:szCs w:val="16"/>
        </w:rPr>
        <w:t>AIFMs</w:t>
      </w:r>
      <w:proofErr w:type="spellEnd"/>
      <w:r w:rsidRPr="00091B62">
        <w:rPr>
          <w:rFonts w:asciiTheme="minorHAnsi" w:hAnsiTheme="minorHAnsi" w:cstheme="minorHAnsi"/>
          <w:i/>
          <w:sz w:val="16"/>
          <w:szCs w:val="16"/>
        </w:rPr>
        <w:t xml:space="preserve"> </w:t>
      </w:r>
      <w:proofErr w:type="spellStart"/>
      <w:r w:rsidRPr="00091B62">
        <w:rPr>
          <w:rFonts w:asciiTheme="minorHAnsi" w:hAnsiTheme="minorHAnsi" w:cstheme="minorHAnsi"/>
          <w:i/>
          <w:sz w:val="16"/>
          <w:szCs w:val="16"/>
        </w:rPr>
        <w:t>should</w:t>
      </w:r>
      <w:proofErr w:type="spellEnd"/>
      <w:r w:rsidRPr="00091B62">
        <w:rPr>
          <w:rFonts w:asciiTheme="minorHAnsi" w:hAnsiTheme="minorHAnsi" w:cstheme="minorHAnsi"/>
          <w:i/>
          <w:sz w:val="16"/>
          <w:szCs w:val="16"/>
        </w:rPr>
        <w:t xml:space="preserve"> </w:t>
      </w:r>
      <w:proofErr w:type="spellStart"/>
      <w:r w:rsidRPr="00091B62">
        <w:rPr>
          <w:rFonts w:asciiTheme="minorHAnsi" w:hAnsiTheme="minorHAnsi" w:cstheme="minorHAnsi"/>
          <w:i/>
          <w:sz w:val="16"/>
          <w:szCs w:val="16"/>
        </w:rPr>
        <w:t>only</w:t>
      </w:r>
      <w:proofErr w:type="spellEnd"/>
      <w:r w:rsidRPr="00091B62">
        <w:rPr>
          <w:rFonts w:asciiTheme="minorHAnsi" w:hAnsiTheme="minorHAnsi" w:cstheme="minorHAnsi"/>
          <w:i/>
          <w:sz w:val="16"/>
          <w:szCs w:val="16"/>
        </w:rPr>
        <w:t xml:space="preserve"> </w:t>
      </w:r>
      <w:proofErr w:type="spellStart"/>
      <w:r w:rsidRPr="00091B62">
        <w:rPr>
          <w:rFonts w:asciiTheme="minorHAnsi" w:hAnsiTheme="minorHAnsi" w:cstheme="minorHAnsi"/>
          <w:i/>
          <w:sz w:val="16"/>
          <w:szCs w:val="16"/>
        </w:rPr>
        <w:t>indicate</w:t>
      </w:r>
      <w:proofErr w:type="spellEnd"/>
      <w:r w:rsidRPr="00091B62">
        <w:rPr>
          <w:rFonts w:asciiTheme="minorHAnsi" w:hAnsiTheme="minorHAnsi" w:cstheme="minorHAnsi"/>
          <w:i/>
          <w:sz w:val="16"/>
          <w:szCs w:val="16"/>
        </w:rPr>
        <w:t xml:space="preserve"> the </w:t>
      </w:r>
      <w:proofErr w:type="spellStart"/>
      <w:r w:rsidRPr="00091B62">
        <w:rPr>
          <w:rFonts w:asciiTheme="minorHAnsi" w:hAnsiTheme="minorHAnsi" w:cstheme="minorHAnsi"/>
          <w:i/>
          <w:sz w:val="16"/>
          <w:szCs w:val="16"/>
        </w:rPr>
        <w:t>name</w:t>
      </w:r>
      <w:proofErr w:type="spellEnd"/>
      <w:r w:rsidRPr="00091B62">
        <w:rPr>
          <w:rFonts w:asciiTheme="minorHAnsi" w:hAnsiTheme="minorHAnsi" w:cstheme="minorHAnsi"/>
          <w:i/>
          <w:sz w:val="16"/>
          <w:szCs w:val="16"/>
        </w:rPr>
        <w:t xml:space="preserve"> of the </w:t>
      </w:r>
      <w:proofErr w:type="spellStart"/>
      <w:r w:rsidRPr="00091B62">
        <w:rPr>
          <w:rFonts w:asciiTheme="minorHAnsi" w:hAnsiTheme="minorHAnsi" w:cstheme="minorHAnsi"/>
          <w:i/>
          <w:sz w:val="16"/>
          <w:szCs w:val="16"/>
        </w:rPr>
        <w:t>compartments</w:t>
      </w:r>
      <w:proofErr w:type="spellEnd"/>
      <w:r w:rsidRPr="00091B62">
        <w:rPr>
          <w:rFonts w:asciiTheme="minorHAnsi" w:hAnsiTheme="minorHAnsi" w:cstheme="minorHAnsi"/>
          <w:i/>
          <w:sz w:val="16"/>
          <w:szCs w:val="16"/>
        </w:rPr>
        <w:t xml:space="preserve"> of the </w:t>
      </w:r>
      <w:proofErr w:type="spellStart"/>
      <w:r w:rsidRPr="00091B62">
        <w:rPr>
          <w:rFonts w:asciiTheme="minorHAnsi" w:hAnsiTheme="minorHAnsi" w:cstheme="minorHAnsi"/>
          <w:i/>
          <w:sz w:val="16"/>
          <w:szCs w:val="16"/>
        </w:rPr>
        <w:t>umbrella</w:t>
      </w:r>
      <w:proofErr w:type="spellEnd"/>
      <w:r w:rsidRPr="00091B62">
        <w:rPr>
          <w:rFonts w:asciiTheme="minorHAnsi" w:hAnsiTheme="minorHAnsi" w:cstheme="minorHAnsi"/>
          <w:i/>
          <w:sz w:val="16"/>
          <w:szCs w:val="16"/>
        </w:rPr>
        <w:t xml:space="preserve"> AIF </w:t>
      </w:r>
      <w:proofErr w:type="spellStart"/>
      <w:r w:rsidRPr="00091B62">
        <w:rPr>
          <w:rFonts w:asciiTheme="minorHAnsi" w:hAnsiTheme="minorHAnsi" w:cstheme="minorHAnsi"/>
          <w:i/>
          <w:sz w:val="16"/>
          <w:szCs w:val="16"/>
        </w:rPr>
        <w:t>notified</w:t>
      </w:r>
      <w:proofErr w:type="spellEnd"/>
      <w:r w:rsidRPr="00091B62">
        <w:rPr>
          <w:rFonts w:asciiTheme="minorHAnsi" w:hAnsiTheme="minorHAnsi" w:cstheme="minorHAnsi"/>
          <w:i/>
          <w:sz w:val="16"/>
          <w:szCs w:val="16"/>
        </w:rPr>
        <w:t xml:space="preserve"> for marketing. AIFMs should not indicate the name of the umbrella AIF.</w:t>
      </w:r>
    </w:p>
  </w:footnote>
  <w:footnote w:id="2">
    <w:p w:rsidR="00091B62" w:rsidRPr="00860179" w:rsidRDefault="00091B62" w:rsidP="00091B62">
      <w:pPr>
        <w:jc w:val="both"/>
        <w:rPr>
          <w:lang w:val="en-US"/>
        </w:rPr>
      </w:pPr>
      <w:r w:rsidRPr="00091B62">
        <w:rPr>
          <w:rFonts w:asciiTheme="minorHAnsi" w:hAnsiTheme="minorHAnsi" w:cstheme="minorHAnsi"/>
          <w:i/>
          <w:sz w:val="16"/>
          <w:szCs w:val="16"/>
          <w:vertAlign w:val="superscript"/>
        </w:rPr>
        <w:footnoteRef/>
      </w:r>
      <w:r w:rsidRPr="00091B62">
        <w:rPr>
          <w:rFonts w:asciiTheme="minorHAnsi" w:hAnsiTheme="minorHAnsi" w:cstheme="minorHAnsi"/>
          <w:i/>
          <w:sz w:val="16"/>
          <w:szCs w:val="16"/>
        </w:rPr>
        <w:t xml:space="preserve"> Information on the depositary of the AIF should include the address of the depositary.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F660AF">
    <w:pPr>
      <w:pStyle w:val="En-tte"/>
      <w:rPr>
        <w:rFonts w:asciiTheme="minorHAnsi" w:hAnsiTheme="minorHAnsi" w:cstheme="minorHAnsi"/>
        <w:sz w:val="18"/>
        <w:szCs w:val="18"/>
      </w:rPr>
    </w:pPr>
    <w:r w:rsidRPr="00F660AF">
      <w:rPr>
        <w:rFonts w:asciiTheme="minorHAnsi" w:hAnsiTheme="minorHAnsi" w:cstheme="minorHAnsi"/>
        <w:sz w:val="18"/>
        <w:szCs w:val="18"/>
      </w:rPr>
      <w:t xml:space="preserve">Lettre de notification à remplir préalablement pour la commercialisation de parts ou actions de FIA de l’Union européenne géré par une société de gestion de portefeuille agréée en France dans un autre Etat membre de l’Union européenne que la </w:t>
    </w:r>
    <w:r>
      <w:rPr>
        <w:rFonts w:asciiTheme="minorHAnsi" w:hAnsiTheme="minorHAnsi" w:cstheme="minorHAnsi"/>
        <w:sz w:val="18"/>
        <w:szCs w:val="18"/>
      </w:rPr>
      <w:t>France – Annexe 2-1 de l’instruction AMF DOC-2014-03</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7.9pt;height:27.9pt" o:bullet="t">
        <v:imagedata r:id="rId1" o:title="Flêche_AMF_blc"/>
      </v:shape>
    </w:pict>
  </w:numPicBullet>
  <w:numPicBullet w:numPicBulletId="1">
    <w:pict>
      <v:shape id="_x0000_i1187" type="#_x0000_t75" style="width:2.5pt;height:2.5pt" o:bullet="t">
        <v:imagedata r:id="rId2" o:title="Fleche_prune copie"/>
      </v:shape>
    </w:pict>
  </w:numPicBullet>
  <w:numPicBullet w:numPicBulletId="2">
    <w:pict>
      <v:shape id="_x0000_i1188" type="#_x0000_t75" style="width:27.9pt;height:27.9pt" o:bullet="t">
        <v:imagedata r:id="rId3" o:title="Fleche_jaune"/>
      </v:shape>
    </w:pict>
  </w:numPicBullet>
  <w:numPicBullet w:numPicBulletId="3">
    <w:pict>
      <v:shape id="_x0000_i1189" type="#_x0000_t75" style="width:27.9pt;height:27.9pt" o:bullet="t">
        <v:imagedata r:id="rId4" o:title="Fleche_aubergine"/>
      </v:shape>
    </w:pict>
  </w:numPicBullet>
  <w:numPicBullet w:numPicBulletId="4">
    <w:pict>
      <v:shape id="_x0000_i1190"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6842C2"/>
    <w:multiLevelType w:val="hybridMultilevel"/>
    <w:tmpl w:val="9EE06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1"/>
  </w:num>
  <w:num w:numId="5">
    <w:abstractNumId w:val="34"/>
  </w:num>
  <w:num w:numId="6">
    <w:abstractNumId w:val="11"/>
  </w:num>
  <w:num w:numId="7">
    <w:abstractNumId w:val="12"/>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4"/>
  </w:num>
  <w:num w:numId="22">
    <w:abstractNumId w:val="19"/>
  </w:num>
  <w:num w:numId="23">
    <w:abstractNumId w:val="13"/>
  </w:num>
  <w:num w:numId="24">
    <w:abstractNumId w:val="30"/>
  </w:num>
  <w:num w:numId="25">
    <w:abstractNumId w:val="27"/>
  </w:num>
  <w:num w:numId="26">
    <w:abstractNumId w:val="33"/>
  </w:num>
  <w:num w:numId="27">
    <w:abstractNumId w:val="21"/>
  </w:num>
  <w:num w:numId="28">
    <w:abstractNumId w:val="16"/>
  </w:num>
  <w:num w:numId="29">
    <w:abstractNumId w:val="23"/>
    <w:lvlOverride w:ilvl="0">
      <w:startOverride w:val="1"/>
    </w:lvlOverride>
  </w:num>
  <w:num w:numId="30">
    <w:abstractNumId w:val="13"/>
  </w:num>
  <w:num w:numId="31">
    <w:abstractNumId w:val="32"/>
  </w:num>
  <w:num w:numId="32">
    <w:abstractNumId w:val="24"/>
  </w:num>
  <w:num w:numId="33">
    <w:abstractNumId w:val="28"/>
  </w:num>
  <w:num w:numId="34">
    <w:abstractNumId w:val="17"/>
  </w:num>
  <w:num w:numId="35">
    <w:abstractNumId w:val="29"/>
  </w:num>
  <w:num w:numId="36">
    <w:abstractNumId w:val="22"/>
  </w:num>
  <w:num w:numId="37">
    <w:abstractNumId w:val="20"/>
  </w:num>
  <w:num w:numId="38">
    <w:abstractNumId w:val="35"/>
  </w:num>
  <w:num w:numId="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910D1"/>
    <w:rsid w:val="00091B62"/>
    <w:rsid w:val="000B7F59"/>
    <w:rsid w:val="000E2F4A"/>
    <w:rsid w:val="000F3F43"/>
    <w:rsid w:val="00105E07"/>
    <w:rsid w:val="0013025C"/>
    <w:rsid w:val="00133FF8"/>
    <w:rsid w:val="0023233D"/>
    <w:rsid w:val="002434A6"/>
    <w:rsid w:val="002F705A"/>
    <w:rsid w:val="00365120"/>
    <w:rsid w:val="00367F03"/>
    <w:rsid w:val="003A3378"/>
    <w:rsid w:val="003B0015"/>
    <w:rsid w:val="003F1091"/>
    <w:rsid w:val="00460571"/>
    <w:rsid w:val="005009B5"/>
    <w:rsid w:val="00511597"/>
    <w:rsid w:val="00593EDE"/>
    <w:rsid w:val="005C1100"/>
    <w:rsid w:val="005C6282"/>
    <w:rsid w:val="005E720F"/>
    <w:rsid w:val="0066464A"/>
    <w:rsid w:val="00684FDF"/>
    <w:rsid w:val="006C4987"/>
    <w:rsid w:val="006E6631"/>
    <w:rsid w:val="007211C5"/>
    <w:rsid w:val="0075127A"/>
    <w:rsid w:val="007759C7"/>
    <w:rsid w:val="007C2CD0"/>
    <w:rsid w:val="00826BA0"/>
    <w:rsid w:val="00835FC9"/>
    <w:rsid w:val="00837D1C"/>
    <w:rsid w:val="008A64B6"/>
    <w:rsid w:val="008B2E32"/>
    <w:rsid w:val="00922AD8"/>
    <w:rsid w:val="009522A4"/>
    <w:rsid w:val="0097706F"/>
    <w:rsid w:val="009D35DA"/>
    <w:rsid w:val="00A375FC"/>
    <w:rsid w:val="00A52761"/>
    <w:rsid w:val="00AC2B18"/>
    <w:rsid w:val="00AF529B"/>
    <w:rsid w:val="00C109BF"/>
    <w:rsid w:val="00C96044"/>
    <w:rsid w:val="00D52CFD"/>
    <w:rsid w:val="00D55321"/>
    <w:rsid w:val="00D80A91"/>
    <w:rsid w:val="00E049BB"/>
    <w:rsid w:val="00E1204F"/>
    <w:rsid w:val="00E46668"/>
    <w:rsid w:val="00E66D10"/>
    <w:rsid w:val="00E74AAB"/>
    <w:rsid w:val="00F56AE2"/>
    <w:rsid w:val="00F660A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76205"/>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0E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F8C5-9CAE-4847-9D46-A98D1D4B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426</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9</cp:revision>
  <cp:lastPrinted>2010-11-05T13:58:00Z</cp:lastPrinted>
  <dcterms:created xsi:type="dcterms:W3CDTF">2021-07-12T09:35:00Z</dcterms:created>
  <dcterms:modified xsi:type="dcterms:W3CDTF">2021-07-23T13:19:00Z</dcterms:modified>
</cp:coreProperties>
</file>