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D83E41" w:rsidRDefault="00E1204F" w:rsidP="00061209">
      <w:pPr>
        <w:pStyle w:val="AMFTitre"/>
        <w:ind w:left="0"/>
        <w:rPr>
          <w:sz w:val="24"/>
          <w:szCs w:val="24"/>
        </w:rPr>
      </w:pPr>
      <w:r w:rsidRPr="00D83E4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D83E41" w:rsidRPr="00D83E41">
        <w:rPr>
          <w:sz w:val="24"/>
          <w:szCs w:val="24"/>
        </w:rPr>
        <w:t>Pièces à joindre au dossier visé à l’annexe 2-1 pour chaque FIA</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Pr="00D83E41" w:rsidRDefault="00D83E41" w:rsidP="001D36C3">
      <w:pPr>
        <w:pStyle w:val="AMFDate"/>
        <w:ind w:left="0"/>
        <w:jc w:val="both"/>
        <w:rPr>
          <w:rFonts w:asciiTheme="minorHAnsi" w:hAnsiTheme="minorHAnsi" w:cstheme="minorHAnsi"/>
          <w:b w:val="0"/>
        </w:rPr>
      </w:pPr>
      <w:r w:rsidRPr="00D83E41">
        <w:rPr>
          <w:rFonts w:asciiTheme="minorHAnsi" w:hAnsiTheme="minorHAnsi" w:cstheme="minorHAnsi"/>
          <w:b w:val="0"/>
        </w:rPr>
        <w:t>Ce document constitue l’annexe 2-2 de l’instruction AMF - Procédure</w:t>
      </w:r>
      <w:r w:rsidR="001D36C3">
        <w:rPr>
          <w:rFonts w:asciiTheme="minorHAnsi" w:hAnsiTheme="minorHAnsi" w:cstheme="minorHAnsi"/>
          <w:b w:val="0"/>
        </w:rPr>
        <w:t>s</w:t>
      </w:r>
      <w:r w:rsidRPr="00D83E41">
        <w:rPr>
          <w:rFonts w:asciiTheme="minorHAnsi" w:hAnsiTheme="minorHAnsi" w:cstheme="minorHAnsi"/>
          <w:b w:val="0"/>
        </w:rPr>
        <w:t xml:space="preserve"> de </w:t>
      </w:r>
      <w:r w:rsidR="001D36C3">
        <w:rPr>
          <w:rFonts w:asciiTheme="minorHAnsi" w:hAnsiTheme="minorHAnsi" w:cstheme="minorHAnsi"/>
          <w:b w:val="0"/>
        </w:rPr>
        <w:t xml:space="preserve">pré-commercialisation et de </w:t>
      </w:r>
      <w:r w:rsidRPr="00D83E41">
        <w:rPr>
          <w:rFonts w:asciiTheme="minorHAnsi" w:hAnsiTheme="minorHAnsi" w:cstheme="minorHAnsi"/>
          <w:b w:val="0"/>
        </w:rPr>
        <w:t>commercialisation de parts ou actions de FIA – DOC-2014-03</w:t>
      </w:r>
      <w:bookmarkStart w:id="0" w:name="_GoBack"/>
      <w:bookmarkEnd w:id="0"/>
    </w:p>
    <w:p w:rsidR="00D83E41" w:rsidRDefault="00D83E41" w:rsidP="00684FDF">
      <w:pPr>
        <w:pStyle w:val="AMFDate"/>
        <w:ind w:left="0"/>
        <w:jc w:val="left"/>
        <w:rPr>
          <w:rFonts w:asciiTheme="minorHAnsi" w:hAnsiTheme="minorHAnsi" w:cstheme="minorHAnsi"/>
        </w:rPr>
      </w:pPr>
    </w:p>
    <w:p w:rsidR="005C6282" w:rsidRDefault="005C6282" w:rsidP="007D1941">
      <w:pPr>
        <w:pStyle w:val="AMFDate"/>
        <w:ind w:left="0"/>
        <w:jc w:val="both"/>
        <w:rPr>
          <w:rFonts w:asciiTheme="minorHAnsi" w:hAnsiTheme="minorHAnsi" w:cstheme="minorHAnsi"/>
          <w:b w:val="0"/>
        </w:rPr>
      </w:pPr>
    </w:p>
    <w:p w:rsidR="007D1941" w:rsidRPr="007D1941" w:rsidRDefault="007D1941" w:rsidP="007D1941">
      <w:pPr>
        <w:jc w:val="both"/>
        <w:rPr>
          <w:rFonts w:asciiTheme="minorHAnsi" w:hAnsiTheme="minorHAnsi" w:cstheme="minorHAnsi"/>
          <w:sz w:val="20"/>
          <w:szCs w:val="20"/>
          <w:lang w:val="en-US"/>
        </w:rPr>
      </w:pPr>
      <w:r w:rsidRPr="007D1941">
        <w:rPr>
          <w:rFonts w:asciiTheme="minorHAnsi" w:hAnsiTheme="minorHAnsi" w:cstheme="minorHAnsi"/>
          <w:b/>
          <w:bCs/>
          <w:sz w:val="20"/>
          <w:szCs w:val="20"/>
          <w:lang w:val="en-US"/>
        </w:rPr>
        <w:t xml:space="preserve">Documentation and information to </w:t>
      </w:r>
      <w:proofErr w:type="gramStart"/>
      <w:r w:rsidRPr="007D1941">
        <w:rPr>
          <w:rFonts w:asciiTheme="minorHAnsi" w:hAnsiTheme="minorHAnsi" w:cstheme="minorHAnsi"/>
          <w:b/>
          <w:bCs/>
          <w:sz w:val="20"/>
          <w:szCs w:val="20"/>
          <w:lang w:val="en-US"/>
        </w:rPr>
        <w:t>be provided</w:t>
      </w:r>
      <w:proofErr w:type="gramEnd"/>
      <w:r w:rsidRPr="007D1941">
        <w:rPr>
          <w:rFonts w:asciiTheme="minorHAnsi" w:hAnsiTheme="minorHAnsi" w:cstheme="minorHAnsi"/>
          <w:b/>
          <w:bCs/>
          <w:sz w:val="20"/>
          <w:szCs w:val="20"/>
          <w:lang w:val="en-US"/>
        </w:rPr>
        <w:t xml:space="preserve"> in the case of intended marketing in member States other than the home member State of the AIFM </w:t>
      </w:r>
    </w:p>
    <w:p w:rsidR="007D1941" w:rsidRPr="007D1941" w:rsidRDefault="007D1941" w:rsidP="007D1941">
      <w:pPr>
        <w:jc w:val="both"/>
        <w:rPr>
          <w:rFonts w:asciiTheme="minorHAnsi" w:hAnsiTheme="minorHAnsi" w:cstheme="minorHAnsi"/>
          <w:sz w:val="20"/>
          <w:szCs w:val="20"/>
          <w:lang w:val="en-US"/>
        </w:rPr>
      </w:pPr>
    </w:p>
    <w:p w:rsidR="007D1941" w:rsidRPr="007D1941" w:rsidRDefault="007D1941" w:rsidP="007D1941">
      <w:pPr>
        <w:jc w:val="both"/>
        <w:rPr>
          <w:rFonts w:asciiTheme="minorHAnsi" w:hAnsiTheme="minorHAnsi" w:cstheme="minorHAnsi"/>
          <w:sz w:val="20"/>
          <w:szCs w:val="20"/>
          <w:lang w:val="en-US"/>
        </w:rPr>
      </w:pPr>
      <w:r w:rsidRPr="007D1941">
        <w:rPr>
          <w:rFonts w:asciiTheme="minorHAnsi" w:hAnsiTheme="minorHAnsi" w:cstheme="minorHAnsi"/>
          <w:b/>
          <w:sz w:val="20"/>
          <w:szCs w:val="20"/>
        </w:rPr>
        <w:fldChar w:fldCharType="begin">
          <w:ffData>
            <w:name w:val="Check15"/>
            <w:enabled/>
            <w:calcOnExit w:val="0"/>
            <w:checkBox>
              <w:sizeAuto/>
              <w:default w:val="0"/>
            </w:checkBox>
          </w:ffData>
        </w:fldChar>
      </w:r>
      <w:r w:rsidRPr="007D1941">
        <w:rPr>
          <w:rFonts w:asciiTheme="minorHAnsi" w:hAnsiTheme="minorHAnsi" w:cstheme="minorHAnsi"/>
          <w:b/>
          <w:sz w:val="20"/>
          <w:szCs w:val="20"/>
          <w:lang w:val="en-US"/>
        </w:rPr>
        <w:instrText xml:space="preserve"> FORMCHECKBOX </w:instrText>
      </w:r>
      <w:r w:rsidR="001D36C3">
        <w:rPr>
          <w:rFonts w:asciiTheme="minorHAnsi" w:hAnsiTheme="minorHAnsi" w:cstheme="minorHAnsi"/>
          <w:b/>
          <w:sz w:val="20"/>
          <w:szCs w:val="20"/>
        </w:rPr>
      </w:r>
      <w:r w:rsidR="001D36C3">
        <w:rPr>
          <w:rFonts w:asciiTheme="minorHAnsi" w:hAnsiTheme="minorHAnsi" w:cstheme="minorHAnsi"/>
          <w:b/>
          <w:sz w:val="20"/>
          <w:szCs w:val="20"/>
        </w:rPr>
        <w:fldChar w:fldCharType="separate"/>
      </w:r>
      <w:r w:rsidRPr="007D1941">
        <w:rPr>
          <w:rFonts w:asciiTheme="minorHAnsi" w:hAnsiTheme="minorHAnsi" w:cstheme="minorHAnsi"/>
          <w:sz w:val="20"/>
          <w:szCs w:val="20"/>
        </w:rPr>
        <w:fldChar w:fldCharType="end"/>
      </w:r>
      <w:r w:rsidRPr="007D1941">
        <w:rPr>
          <w:rFonts w:asciiTheme="minorHAnsi" w:hAnsiTheme="minorHAnsi" w:cstheme="minorHAnsi"/>
          <w:b/>
          <w:sz w:val="20"/>
          <w:szCs w:val="20"/>
          <w:lang w:val="en-US"/>
        </w:rPr>
        <w:t xml:space="preserve"> </w:t>
      </w:r>
      <w:proofErr w:type="gramStart"/>
      <w:r w:rsidRPr="007D1941">
        <w:rPr>
          <w:rFonts w:asciiTheme="minorHAnsi" w:hAnsiTheme="minorHAnsi" w:cstheme="minorHAnsi"/>
          <w:sz w:val="20"/>
          <w:szCs w:val="20"/>
          <w:lang w:val="en-US"/>
        </w:rPr>
        <w:t>the</w:t>
      </w:r>
      <w:proofErr w:type="gramEnd"/>
      <w:r w:rsidRPr="007D1941">
        <w:rPr>
          <w:rFonts w:asciiTheme="minorHAnsi" w:hAnsiTheme="minorHAnsi" w:cstheme="minorHAnsi"/>
          <w:sz w:val="20"/>
          <w:szCs w:val="20"/>
          <w:lang w:val="en-US"/>
        </w:rPr>
        <w:t xml:space="preserve"> AIF rules or instruments of incorporation</w:t>
      </w:r>
    </w:p>
    <w:p w:rsidR="007D1941" w:rsidRPr="007D1941" w:rsidRDefault="007D1941" w:rsidP="007D1941">
      <w:pPr>
        <w:jc w:val="both"/>
        <w:rPr>
          <w:rFonts w:asciiTheme="minorHAnsi" w:hAnsiTheme="minorHAnsi" w:cstheme="minorHAnsi"/>
          <w:sz w:val="20"/>
          <w:szCs w:val="20"/>
          <w:lang w:val="en-US"/>
        </w:rPr>
      </w:pPr>
      <w:r w:rsidRPr="007D1941">
        <w:rPr>
          <w:rFonts w:asciiTheme="minorHAnsi" w:hAnsiTheme="minorHAnsi" w:cstheme="minorHAnsi"/>
          <w:b/>
          <w:sz w:val="20"/>
          <w:szCs w:val="20"/>
        </w:rPr>
        <w:fldChar w:fldCharType="begin">
          <w:ffData>
            <w:name w:val="Check15"/>
            <w:enabled/>
            <w:calcOnExit w:val="0"/>
            <w:checkBox>
              <w:sizeAuto/>
              <w:default w:val="0"/>
            </w:checkBox>
          </w:ffData>
        </w:fldChar>
      </w:r>
      <w:r w:rsidRPr="007D1941">
        <w:rPr>
          <w:rFonts w:asciiTheme="minorHAnsi" w:hAnsiTheme="minorHAnsi" w:cstheme="minorHAnsi"/>
          <w:b/>
          <w:sz w:val="20"/>
          <w:szCs w:val="20"/>
          <w:lang w:val="en-US"/>
        </w:rPr>
        <w:instrText xml:space="preserve"> FORMCHECKBOX </w:instrText>
      </w:r>
      <w:r w:rsidR="001D36C3">
        <w:rPr>
          <w:rFonts w:asciiTheme="minorHAnsi" w:hAnsiTheme="minorHAnsi" w:cstheme="minorHAnsi"/>
          <w:b/>
          <w:sz w:val="20"/>
          <w:szCs w:val="20"/>
        </w:rPr>
      </w:r>
      <w:r w:rsidR="001D36C3">
        <w:rPr>
          <w:rFonts w:asciiTheme="minorHAnsi" w:hAnsiTheme="minorHAnsi" w:cstheme="minorHAnsi"/>
          <w:b/>
          <w:sz w:val="20"/>
          <w:szCs w:val="20"/>
        </w:rPr>
        <w:fldChar w:fldCharType="separate"/>
      </w:r>
      <w:r w:rsidRPr="007D1941">
        <w:rPr>
          <w:rFonts w:asciiTheme="minorHAnsi" w:hAnsiTheme="minorHAnsi" w:cstheme="minorHAnsi"/>
          <w:sz w:val="20"/>
          <w:szCs w:val="20"/>
        </w:rPr>
        <w:fldChar w:fldCharType="end"/>
      </w:r>
      <w:r w:rsidRPr="007D1941">
        <w:rPr>
          <w:rFonts w:asciiTheme="minorHAnsi" w:hAnsiTheme="minorHAnsi" w:cstheme="minorHAnsi"/>
          <w:b/>
          <w:sz w:val="20"/>
          <w:szCs w:val="20"/>
          <w:lang w:val="en-US"/>
        </w:rPr>
        <w:t xml:space="preserve"> </w:t>
      </w:r>
      <w:proofErr w:type="gramStart"/>
      <w:r w:rsidRPr="007D1941">
        <w:rPr>
          <w:rFonts w:asciiTheme="minorHAnsi" w:hAnsiTheme="minorHAnsi" w:cstheme="minorHAnsi"/>
          <w:sz w:val="20"/>
          <w:szCs w:val="20"/>
          <w:lang w:val="en-US"/>
        </w:rPr>
        <w:t>a</w:t>
      </w:r>
      <w:proofErr w:type="gramEnd"/>
      <w:r w:rsidRPr="007D1941">
        <w:rPr>
          <w:rFonts w:asciiTheme="minorHAnsi" w:hAnsiTheme="minorHAnsi" w:cstheme="minorHAnsi"/>
          <w:sz w:val="20"/>
          <w:szCs w:val="20"/>
          <w:lang w:val="en-US"/>
        </w:rPr>
        <w:t xml:space="preserve"> description of, or any information on, the AIF available to investors </w:t>
      </w:r>
    </w:p>
    <w:p w:rsidR="007D1941" w:rsidRPr="007D1941" w:rsidRDefault="007D1941" w:rsidP="007D1941">
      <w:pPr>
        <w:jc w:val="both"/>
        <w:rPr>
          <w:rFonts w:asciiTheme="minorHAnsi" w:hAnsiTheme="minorHAnsi" w:cstheme="minorHAnsi"/>
          <w:sz w:val="20"/>
          <w:szCs w:val="20"/>
          <w:lang w:val="en-US"/>
        </w:rPr>
      </w:pPr>
      <w:r w:rsidRPr="007D1941">
        <w:rPr>
          <w:rFonts w:asciiTheme="minorHAnsi" w:hAnsiTheme="minorHAnsi" w:cstheme="minorHAnsi"/>
          <w:b/>
          <w:sz w:val="20"/>
          <w:szCs w:val="20"/>
        </w:rPr>
        <w:fldChar w:fldCharType="begin">
          <w:ffData>
            <w:name w:val="Check15"/>
            <w:enabled/>
            <w:calcOnExit w:val="0"/>
            <w:checkBox>
              <w:sizeAuto/>
              <w:default w:val="0"/>
            </w:checkBox>
          </w:ffData>
        </w:fldChar>
      </w:r>
      <w:r w:rsidRPr="007D1941">
        <w:rPr>
          <w:rFonts w:asciiTheme="minorHAnsi" w:hAnsiTheme="minorHAnsi" w:cstheme="minorHAnsi"/>
          <w:b/>
          <w:sz w:val="20"/>
          <w:szCs w:val="20"/>
          <w:lang w:val="en-US"/>
        </w:rPr>
        <w:instrText xml:space="preserve"> FORMCHECKBOX </w:instrText>
      </w:r>
      <w:r w:rsidR="001D36C3">
        <w:rPr>
          <w:rFonts w:asciiTheme="minorHAnsi" w:hAnsiTheme="minorHAnsi" w:cstheme="minorHAnsi"/>
          <w:b/>
          <w:sz w:val="20"/>
          <w:szCs w:val="20"/>
        </w:rPr>
      </w:r>
      <w:r w:rsidR="001D36C3">
        <w:rPr>
          <w:rFonts w:asciiTheme="minorHAnsi" w:hAnsiTheme="minorHAnsi" w:cstheme="minorHAnsi"/>
          <w:b/>
          <w:sz w:val="20"/>
          <w:szCs w:val="20"/>
        </w:rPr>
        <w:fldChar w:fldCharType="separate"/>
      </w:r>
      <w:r w:rsidRPr="007D1941">
        <w:rPr>
          <w:rFonts w:asciiTheme="minorHAnsi" w:hAnsiTheme="minorHAnsi" w:cstheme="minorHAnsi"/>
          <w:sz w:val="20"/>
          <w:szCs w:val="20"/>
        </w:rPr>
        <w:fldChar w:fldCharType="end"/>
      </w:r>
      <w:r w:rsidRPr="007D1941">
        <w:rPr>
          <w:rFonts w:asciiTheme="minorHAnsi" w:hAnsiTheme="minorHAnsi" w:cstheme="minorHAnsi"/>
          <w:b/>
          <w:sz w:val="20"/>
          <w:szCs w:val="20"/>
          <w:lang w:val="en-US"/>
        </w:rPr>
        <w:t xml:space="preserve"> </w:t>
      </w:r>
      <w:proofErr w:type="gramStart"/>
      <w:r w:rsidRPr="007D1941">
        <w:rPr>
          <w:rFonts w:asciiTheme="minorHAnsi" w:hAnsiTheme="minorHAnsi" w:cstheme="minorHAnsi"/>
          <w:sz w:val="20"/>
          <w:szCs w:val="20"/>
          <w:lang w:val="en-US"/>
        </w:rPr>
        <w:t>any</w:t>
      </w:r>
      <w:proofErr w:type="gramEnd"/>
      <w:r w:rsidRPr="007D1941">
        <w:rPr>
          <w:rFonts w:asciiTheme="minorHAnsi" w:hAnsiTheme="minorHAnsi" w:cstheme="minorHAnsi"/>
          <w:sz w:val="20"/>
          <w:szCs w:val="20"/>
          <w:lang w:val="en-US"/>
        </w:rPr>
        <w:t xml:space="preserve"> additional information referred to in Article 23 (1) of Directive 2011/61/EU for each AIF the AIFM intends to market </w:t>
      </w:r>
    </w:p>
    <w:p w:rsidR="007D1941" w:rsidRDefault="007D1941" w:rsidP="007D1941">
      <w:pPr>
        <w:jc w:val="both"/>
        <w:rPr>
          <w:rFonts w:asciiTheme="minorHAnsi" w:hAnsiTheme="minorHAnsi" w:cstheme="minorHAnsi"/>
          <w:sz w:val="20"/>
          <w:szCs w:val="20"/>
          <w:lang w:val="en-US"/>
        </w:rPr>
      </w:pPr>
      <w:r w:rsidRPr="007D1941">
        <w:rPr>
          <w:rFonts w:asciiTheme="minorHAnsi" w:hAnsiTheme="minorHAnsi" w:cstheme="minorHAnsi"/>
          <w:b/>
          <w:sz w:val="20"/>
          <w:szCs w:val="20"/>
        </w:rPr>
        <w:fldChar w:fldCharType="begin">
          <w:ffData>
            <w:name w:val="Check15"/>
            <w:enabled/>
            <w:calcOnExit w:val="0"/>
            <w:checkBox>
              <w:sizeAuto/>
              <w:default w:val="0"/>
            </w:checkBox>
          </w:ffData>
        </w:fldChar>
      </w:r>
      <w:r w:rsidRPr="007D1941">
        <w:rPr>
          <w:rFonts w:asciiTheme="minorHAnsi" w:hAnsiTheme="minorHAnsi" w:cstheme="minorHAnsi"/>
          <w:b/>
          <w:sz w:val="20"/>
          <w:szCs w:val="20"/>
          <w:lang w:val="en-US"/>
        </w:rPr>
        <w:instrText xml:space="preserve"> FORMCHECKBOX </w:instrText>
      </w:r>
      <w:r w:rsidR="001D36C3">
        <w:rPr>
          <w:rFonts w:asciiTheme="minorHAnsi" w:hAnsiTheme="minorHAnsi" w:cstheme="minorHAnsi"/>
          <w:b/>
          <w:sz w:val="20"/>
          <w:szCs w:val="20"/>
        </w:rPr>
      </w:r>
      <w:r w:rsidR="001D36C3">
        <w:rPr>
          <w:rFonts w:asciiTheme="minorHAnsi" w:hAnsiTheme="minorHAnsi" w:cstheme="minorHAnsi"/>
          <w:b/>
          <w:sz w:val="20"/>
          <w:szCs w:val="20"/>
        </w:rPr>
        <w:fldChar w:fldCharType="separate"/>
      </w:r>
      <w:r w:rsidRPr="007D1941">
        <w:rPr>
          <w:rFonts w:asciiTheme="minorHAnsi" w:hAnsiTheme="minorHAnsi" w:cstheme="minorHAnsi"/>
          <w:sz w:val="20"/>
          <w:szCs w:val="20"/>
        </w:rPr>
        <w:fldChar w:fldCharType="end"/>
      </w:r>
      <w:r w:rsidRPr="007D1941">
        <w:rPr>
          <w:rFonts w:asciiTheme="minorHAnsi" w:hAnsiTheme="minorHAnsi" w:cstheme="minorHAnsi"/>
          <w:sz w:val="20"/>
          <w:szCs w:val="20"/>
          <w:lang w:val="en-US"/>
        </w:rPr>
        <w:t xml:space="preserve"> information about arrangements made for the marketing of AIFs and, where relevant, information on the arrangements established to prevent units or shares of the AIF from being marketed to retail investors, including in the case where the AIFM relies on activities of independent entities to provide investment services in respect of the AIF : </w:t>
      </w:r>
    </w:p>
    <w:p w:rsidR="00152D22" w:rsidRPr="007D1941" w:rsidRDefault="00152D22" w:rsidP="007D1941">
      <w:pPr>
        <w:jc w:val="both"/>
        <w:rPr>
          <w:rFonts w:asciiTheme="minorHAnsi" w:hAnsiTheme="minorHAnsi" w:cstheme="minorHAnsi"/>
          <w:b/>
          <w:sz w:val="20"/>
          <w:szCs w:val="20"/>
          <w:lang w:val="en-US"/>
        </w:rPr>
      </w:pPr>
    </w:p>
    <w:p w:rsidR="00922AD8" w:rsidRPr="007D1941" w:rsidRDefault="00922AD8" w:rsidP="007D1941">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52D22" w:rsidRPr="00152D22" w:rsidTr="001B4C4E">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hAnsi="Arial" w:cs="Arial"/>
                <w:b/>
                <w:color w:val="000000"/>
                <w:sz w:val="18"/>
                <w:szCs w:val="18"/>
              </w:rPr>
            </w:pPr>
            <w:r w:rsidRPr="00152D22">
              <w:rPr>
                <w:rFonts w:ascii="Arial" w:hAnsi="Arial" w:cs="Arial"/>
                <w:b/>
                <w:color w:val="000000"/>
                <w:sz w:val="18"/>
                <w:szCs w:val="18"/>
              </w:rPr>
              <w:t>Informations</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b/>
                <w:sz w:val="18"/>
                <w:szCs w:val="18"/>
                <w:lang w:val="en-US"/>
              </w:rPr>
            </w:pPr>
            <w:r w:rsidRPr="00152D22">
              <w:rPr>
                <w:rFonts w:ascii="Arial" w:eastAsia="Times" w:hAnsi="Arial" w:cs="Arial"/>
                <w:b/>
                <w:sz w:val="18"/>
                <w:szCs w:val="18"/>
                <w:lang w:val="en-US"/>
              </w:rPr>
              <w:t>Specify where to find the information in the transmitted documents</w:t>
            </w: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a) 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b) a description of the procedures by which the AIF may change its investment strategy or investment policy, or both;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d) the identity of the AIFM, the AIF’s depositary, auditor and any other service providers and a description of their duties and the investors’ rights; </w:t>
            </w:r>
          </w:p>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lastRenderedPageBreak/>
              <w:t>e) a description of how the AIFM is complying with the requirements of Article 9(7)</w:t>
            </w:r>
            <w:r w:rsidRPr="00152D22">
              <w:rPr>
                <w:rFonts w:ascii="Arial" w:hAnsi="Arial" w:cs="Arial"/>
                <w:sz w:val="18"/>
                <w:szCs w:val="18"/>
                <w:lang w:val="en-US"/>
              </w:rPr>
              <w:t xml:space="preserve"> of Directive 2011/61/EU</w:t>
            </w:r>
            <w:r w:rsidRPr="00152D22">
              <w:rPr>
                <w:rFonts w:ascii="Arial" w:hAnsi="Arial" w:cs="Arial"/>
                <w:color w:val="000000"/>
                <w:sz w:val="18"/>
                <w:szCs w:val="18"/>
                <w:lang w:val="en-US"/>
              </w:rPr>
              <w:t xml:space="preserve">;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f) 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g) a description of the AIF’s valuation procedure and of the pricing methodology for valuing assets, including the methods used in valuing hard-to-value assets in accordance with Article 19</w:t>
            </w:r>
            <w:r w:rsidRPr="00152D22">
              <w:rPr>
                <w:rFonts w:ascii="Arial" w:hAnsi="Arial" w:cs="Arial"/>
                <w:sz w:val="18"/>
                <w:szCs w:val="18"/>
                <w:lang w:val="en-US"/>
              </w:rPr>
              <w:t xml:space="preserve"> of Directive 2011/61/EU</w:t>
            </w:r>
            <w:r w:rsidRPr="00152D22">
              <w:rPr>
                <w:rFonts w:ascii="Arial" w:hAnsi="Arial" w:cs="Arial"/>
                <w:color w:val="000000"/>
                <w:sz w:val="18"/>
                <w:szCs w:val="18"/>
                <w:lang w:val="en-US"/>
              </w:rPr>
              <w:t xml:space="preserve">;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h) a description of the AIF’s liquidity risk management, including the redemption rights both in normal and in exceptional circumstances, and the existing redemption arrangements with investors;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proofErr w:type="spellStart"/>
            <w:r w:rsidRPr="00152D22">
              <w:rPr>
                <w:rFonts w:ascii="Arial" w:hAnsi="Arial" w:cs="Arial"/>
                <w:color w:val="000000"/>
                <w:sz w:val="18"/>
                <w:szCs w:val="18"/>
                <w:lang w:val="en-US"/>
              </w:rPr>
              <w:t>i</w:t>
            </w:r>
            <w:proofErr w:type="spellEnd"/>
            <w:r w:rsidRPr="00152D22">
              <w:rPr>
                <w:rFonts w:ascii="Arial" w:hAnsi="Arial" w:cs="Arial"/>
                <w:color w:val="000000"/>
                <w:sz w:val="18"/>
                <w:szCs w:val="18"/>
                <w:lang w:val="en-US"/>
              </w:rPr>
              <w:t xml:space="preserve">) a description of all fees, charges and expenses and of the maximum amounts thereof which are directly or indirectly borne by investors;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k) the latest annual report referred to in Article 22;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l) the procedure and conditions for the issue and sale of units or shares;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m) the latest net asset value of the AIF or the latest market price of the unit or share of the AIF, in accordance with Article 19</w:t>
            </w:r>
            <w:r w:rsidRPr="00152D22">
              <w:rPr>
                <w:rFonts w:ascii="Arial" w:hAnsi="Arial" w:cs="Arial"/>
                <w:sz w:val="18"/>
                <w:szCs w:val="18"/>
                <w:lang w:val="en-US"/>
              </w:rPr>
              <w:t xml:space="preserve"> of Directive 2011/61/EU</w:t>
            </w:r>
            <w:r w:rsidRPr="00152D22">
              <w:rPr>
                <w:rFonts w:ascii="Arial" w:hAnsi="Arial" w:cs="Arial"/>
                <w:color w:val="000000"/>
                <w:sz w:val="18"/>
                <w:szCs w:val="18"/>
                <w:lang w:val="en-US"/>
              </w:rPr>
              <w:t>;</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n) where available, the historical performance of the AIF;</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r w:rsidR="00152D22" w:rsidRPr="00152D22" w:rsidTr="001B4C4E">
        <w:tc>
          <w:tcPr>
            <w:tcW w:w="4606" w:type="dxa"/>
            <w:shd w:val="clear" w:color="auto" w:fill="auto"/>
          </w:tcPr>
          <w:p w:rsidR="00152D22" w:rsidRPr="00152D22" w:rsidRDefault="00152D22" w:rsidP="00152D22">
            <w:pPr>
              <w:autoSpaceDE w:val="0"/>
              <w:autoSpaceDN w:val="0"/>
              <w:adjustRightInd w:val="0"/>
              <w:spacing w:line="240" w:lineRule="atLeast"/>
              <w:jc w:val="both"/>
              <w:rPr>
                <w:rFonts w:ascii="Arial" w:hAnsi="Arial" w:cs="Arial"/>
                <w:color w:val="000000"/>
                <w:sz w:val="18"/>
                <w:szCs w:val="18"/>
                <w:lang w:val="en-US"/>
              </w:rPr>
            </w:pPr>
            <w:r w:rsidRPr="00152D22">
              <w:rPr>
                <w:rFonts w:ascii="Arial" w:hAnsi="Arial" w:cs="Arial"/>
                <w:color w:val="000000"/>
                <w:sz w:val="18"/>
                <w:szCs w:val="18"/>
                <w:lang w:val="en-US"/>
              </w:rPr>
              <w:t xml:space="preserve">p) </w:t>
            </w:r>
            <w:proofErr w:type="gramStart"/>
            <w:r w:rsidRPr="00152D22">
              <w:rPr>
                <w:rFonts w:ascii="Arial" w:hAnsi="Arial" w:cs="Arial"/>
                <w:color w:val="000000"/>
                <w:sz w:val="18"/>
                <w:szCs w:val="18"/>
                <w:lang w:val="en-US"/>
              </w:rPr>
              <w:t>description</w:t>
            </w:r>
            <w:proofErr w:type="gramEnd"/>
            <w:r w:rsidRPr="00152D22">
              <w:rPr>
                <w:rFonts w:ascii="Arial" w:hAnsi="Arial" w:cs="Arial"/>
                <w:color w:val="000000"/>
                <w:sz w:val="18"/>
                <w:szCs w:val="18"/>
                <w:lang w:val="en-US"/>
              </w:rPr>
              <w:t xml:space="preserve"> of how and when the information required under paragraphs 4 and 5 of Article 23 </w:t>
            </w:r>
            <w:r w:rsidRPr="00152D22">
              <w:rPr>
                <w:rFonts w:ascii="Arial" w:hAnsi="Arial" w:cs="Arial"/>
                <w:sz w:val="18"/>
                <w:szCs w:val="18"/>
                <w:lang w:val="en-US"/>
              </w:rPr>
              <w:t>of Directive 2011/61/EU</w:t>
            </w:r>
            <w:r w:rsidRPr="00152D22">
              <w:rPr>
                <w:rFonts w:ascii="Arial" w:hAnsi="Arial" w:cs="Arial"/>
                <w:color w:val="000000"/>
                <w:sz w:val="18"/>
                <w:szCs w:val="18"/>
                <w:lang w:val="en-US"/>
              </w:rPr>
              <w:t xml:space="preserve"> will be disclosed.</w:t>
            </w:r>
          </w:p>
        </w:tc>
        <w:tc>
          <w:tcPr>
            <w:tcW w:w="4606" w:type="dxa"/>
            <w:shd w:val="clear" w:color="auto" w:fill="auto"/>
          </w:tcPr>
          <w:p w:rsidR="00152D22" w:rsidRPr="00152D22" w:rsidRDefault="00152D22" w:rsidP="00152D22">
            <w:pPr>
              <w:overflowPunct w:val="0"/>
              <w:autoSpaceDE w:val="0"/>
              <w:autoSpaceDN w:val="0"/>
              <w:adjustRightInd w:val="0"/>
              <w:spacing w:line="240" w:lineRule="atLeast"/>
              <w:jc w:val="both"/>
              <w:textAlignment w:val="baseline"/>
              <w:rPr>
                <w:rFonts w:ascii="Arial" w:eastAsia="Times" w:hAnsi="Arial" w:cs="Arial"/>
                <w:sz w:val="18"/>
                <w:szCs w:val="18"/>
                <w:lang w:val="en-US"/>
              </w:rPr>
            </w:pPr>
          </w:p>
        </w:tc>
      </w:tr>
    </w:tbl>
    <w:p w:rsidR="00922AD8" w:rsidRPr="007D1941" w:rsidRDefault="00922AD8" w:rsidP="007D1941">
      <w:pPr>
        <w:jc w:val="both"/>
        <w:rPr>
          <w:rFonts w:asciiTheme="minorHAnsi" w:hAnsiTheme="minorHAnsi" w:cstheme="minorHAnsi"/>
          <w:sz w:val="20"/>
          <w:szCs w:val="20"/>
        </w:rPr>
      </w:pPr>
    </w:p>
    <w:p w:rsidR="00922AD8" w:rsidRPr="007D1941" w:rsidRDefault="00922AD8" w:rsidP="007D1941">
      <w:pPr>
        <w:jc w:val="both"/>
        <w:rPr>
          <w:rFonts w:asciiTheme="minorHAnsi" w:hAnsiTheme="minorHAnsi" w:cstheme="minorHAnsi"/>
          <w:sz w:val="20"/>
          <w:szCs w:val="20"/>
        </w:rPr>
      </w:pPr>
    </w:p>
    <w:p w:rsidR="00922AD8" w:rsidRPr="007D1941" w:rsidRDefault="00922AD8" w:rsidP="007D1941">
      <w:pPr>
        <w:jc w:val="both"/>
        <w:rPr>
          <w:rFonts w:asciiTheme="minorHAnsi" w:hAnsiTheme="minorHAnsi" w:cstheme="minorHAnsi"/>
          <w:sz w:val="20"/>
          <w:szCs w:val="20"/>
        </w:rPr>
      </w:pPr>
    </w:p>
    <w:p w:rsidR="00922AD8" w:rsidRPr="007D1941" w:rsidRDefault="00922AD8" w:rsidP="007D1941">
      <w:pPr>
        <w:jc w:val="both"/>
        <w:rPr>
          <w:rFonts w:asciiTheme="minorHAnsi" w:hAnsiTheme="minorHAnsi" w:cstheme="minorHAnsi"/>
          <w:sz w:val="20"/>
          <w:szCs w:val="20"/>
        </w:rPr>
      </w:pPr>
    </w:p>
    <w:p w:rsidR="00922AD8" w:rsidRPr="007D1941" w:rsidRDefault="00922AD8" w:rsidP="007D1941">
      <w:pPr>
        <w:jc w:val="both"/>
        <w:rPr>
          <w:rFonts w:asciiTheme="minorHAnsi" w:hAnsiTheme="minorHAnsi" w:cstheme="minorHAnsi"/>
          <w:sz w:val="20"/>
          <w:szCs w:val="20"/>
        </w:rPr>
      </w:pPr>
    </w:p>
    <w:sectPr w:rsidR="00922AD8" w:rsidRPr="007D1941"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A4" w:rsidRDefault="00F010A4">
      <w:r>
        <w:separator/>
      </w:r>
    </w:p>
  </w:endnote>
  <w:endnote w:type="continuationSeparator" w:id="0">
    <w:p w:rsidR="00F010A4" w:rsidRDefault="00F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22" w:rsidRDefault="00152D22" w:rsidP="00152D22">
    <w:pPr>
      <w:pStyle w:val="Pieddepage"/>
    </w:pPr>
    <w:r>
      <w:tab/>
    </w:r>
    <w:r>
      <w:tab/>
    </w:r>
    <w:sdt>
      <w:sdtPr>
        <w:id w:val="-302394231"/>
        <w:docPartObj>
          <w:docPartGallery w:val="Page Numbers (Bottom of Page)"/>
          <w:docPartUnique/>
        </w:docPartObj>
      </w:sdtPr>
      <w:sdtEndPr/>
      <w:sdtContent>
        <w:r w:rsidRPr="00152D22">
          <w:rPr>
            <w:rFonts w:asciiTheme="minorHAnsi" w:hAnsiTheme="minorHAnsi" w:cstheme="minorHAnsi"/>
            <w:sz w:val="16"/>
            <w:szCs w:val="16"/>
          </w:rPr>
          <w:fldChar w:fldCharType="begin"/>
        </w:r>
        <w:r w:rsidRPr="00152D22">
          <w:rPr>
            <w:rFonts w:asciiTheme="minorHAnsi" w:hAnsiTheme="minorHAnsi" w:cstheme="minorHAnsi"/>
            <w:sz w:val="16"/>
            <w:szCs w:val="16"/>
          </w:rPr>
          <w:instrText>PAGE   \* MERGEFORMAT</w:instrText>
        </w:r>
        <w:r w:rsidRPr="00152D22">
          <w:rPr>
            <w:rFonts w:asciiTheme="minorHAnsi" w:hAnsiTheme="minorHAnsi" w:cstheme="minorHAnsi"/>
            <w:sz w:val="16"/>
            <w:szCs w:val="16"/>
          </w:rPr>
          <w:fldChar w:fldCharType="separate"/>
        </w:r>
        <w:r w:rsidR="001D36C3">
          <w:rPr>
            <w:rFonts w:asciiTheme="minorHAnsi" w:hAnsiTheme="minorHAnsi" w:cstheme="minorHAnsi"/>
            <w:noProof/>
            <w:sz w:val="16"/>
            <w:szCs w:val="16"/>
          </w:rPr>
          <w:t>2</w:t>
        </w:r>
        <w:r w:rsidRPr="00152D22">
          <w:rPr>
            <w:rFonts w:asciiTheme="minorHAnsi" w:hAnsiTheme="minorHAnsi" w:cstheme="minorHAnsi"/>
            <w:sz w:val="16"/>
            <w:szCs w:val="16"/>
          </w:rPr>
          <w:fldChar w:fldCharType="end"/>
        </w:r>
        <w:r>
          <w:rPr>
            <w:rFonts w:asciiTheme="minorHAnsi" w:hAnsiTheme="minorHAnsi" w:cstheme="minorHAnsi"/>
            <w:sz w:val="16"/>
            <w:szCs w:val="16"/>
          </w:rPr>
          <w:t>/2</w:t>
        </w:r>
      </w:sdtContent>
    </w:sdt>
  </w:p>
  <w:p w:rsidR="00152D22" w:rsidRDefault="00152D22" w:rsidP="00152D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22" w:rsidRDefault="00152D22" w:rsidP="00152D22">
    <w:pPr>
      <w:pStyle w:val="Pieddepage"/>
    </w:pPr>
    <w:r>
      <w:tab/>
    </w:r>
    <w:r>
      <w:tab/>
    </w:r>
    <w:sdt>
      <w:sdtPr>
        <w:id w:val="2032374927"/>
        <w:docPartObj>
          <w:docPartGallery w:val="Page Numbers (Bottom of Page)"/>
          <w:docPartUnique/>
        </w:docPartObj>
      </w:sdtPr>
      <w:sdtEndPr/>
      <w:sdtContent>
        <w:r w:rsidRPr="00152D22">
          <w:rPr>
            <w:rFonts w:asciiTheme="minorHAnsi" w:hAnsiTheme="minorHAnsi" w:cstheme="minorHAnsi"/>
            <w:sz w:val="16"/>
            <w:szCs w:val="16"/>
          </w:rPr>
          <w:fldChar w:fldCharType="begin"/>
        </w:r>
        <w:r w:rsidRPr="00152D22">
          <w:rPr>
            <w:rFonts w:asciiTheme="minorHAnsi" w:hAnsiTheme="minorHAnsi" w:cstheme="minorHAnsi"/>
            <w:sz w:val="16"/>
            <w:szCs w:val="16"/>
          </w:rPr>
          <w:instrText>PAGE   \* MERGEFORMAT</w:instrText>
        </w:r>
        <w:r w:rsidRPr="00152D22">
          <w:rPr>
            <w:rFonts w:asciiTheme="minorHAnsi" w:hAnsiTheme="minorHAnsi" w:cstheme="minorHAnsi"/>
            <w:sz w:val="16"/>
            <w:szCs w:val="16"/>
          </w:rPr>
          <w:fldChar w:fldCharType="separate"/>
        </w:r>
        <w:r w:rsidR="001D36C3">
          <w:rPr>
            <w:rFonts w:asciiTheme="minorHAnsi" w:hAnsiTheme="minorHAnsi" w:cstheme="minorHAnsi"/>
            <w:noProof/>
            <w:sz w:val="16"/>
            <w:szCs w:val="16"/>
          </w:rPr>
          <w:t>1</w:t>
        </w:r>
        <w:r w:rsidRPr="00152D22">
          <w:rPr>
            <w:rFonts w:asciiTheme="minorHAnsi" w:hAnsiTheme="minorHAnsi" w:cstheme="minorHAnsi"/>
            <w:sz w:val="16"/>
            <w:szCs w:val="16"/>
          </w:rPr>
          <w:fldChar w:fldCharType="end"/>
        </w:r>
        <w:r>
          <w:rPr>
            <w:rFonts w:asciiTheme="minorHAnsi" w:hAnsiTheme="minorHAnsi" w:cstheme="minorHAnsi"/>
            <w:sz w:val="16"/>
            <w:szCs w:val="1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A4" w:rsidRDefault="00F010A4">
      <w:r>
        <w:separator/>
      </w:r>
    </w:p>
  </w:footnote>
  <w:footnote w:type="continuationSeparator" w:id="0">
    <w:p w:rsidR="00F010A4" w:rsidRDefault="00F0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152D22">
    <w:pPr>
      <w:pStyle w:val="En-tte"/>
      <w:rPr>
        <w:rFonts w:asciiTheme="minorHAnsi" w:hAnsiTheme="minorHAnsi" w:cstheme="minorHAnsi"/>
        <w:sz w:val="18"/>
        <w:szCs w:val="18"/>
      </w:rPr>
    </w:pPr>
    <w:r w:rsidRPr="00152D22">
      <w:rPr>
        <w:rFonts w:asciiTheme="minorHAnsi" w:hAnsiTheme="minorHAnsi" w:cstheme="minorHAnsi"/>
        <w:sz w:val="18"/>
        <w:szCs w:val="18"/>
      </w:rPr>
      <w:t>Pièces à joindre au dossier visé à l’annexe 2-1 pour chaque FIA</w:t>
    </w:r>
    <w:r w:rsidRPr="00152D22">
      <w:rPr>
        <w:rFonts w:asciiTheme="minorHAnsi" w:hAnsiTheme="minorHAnsi" w:cstheme="minorHAnsi"/>
        <w:b/>
        <w:sz w:val="18"/>
        <w:szCs w:val="18"/>
      </w:rPr>
      <w:t> </w:t>
    </w:r>
    <w:r>
      <w:rPr>
        <w:rFonts w:asciiTheme="minorHAnsi" w:hAnsiTheme="minorHAnsi" w:cstheme="minorHAnsi"/>
        <w:sz w:val="18"/>
        <w:szCs w:val="18"/>
      </w:rPr>
      <w:t>– Annexe 2-2 de l’instruction AMF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27.9pt;height:27.9pt" o:bullet="t">
        <v:imagedata r:id="rId1" o:title="Flêche_AMF_blc"/>
      </v:shape>
    </w:pict>
  </w:numPicBullet>
  <w:numPicBullet w:numPicBulletId="1">
    <w:pict>
      <v:shape id="_x0000_i1207" type="#_x0000_t75" style="width:2.5pt;height:2.5pt" o:bullet="t">
        <v:imagedata r:id="rId2" o:title="Fleche_prune copie"/>
      </v:shape>
    </w:pict>
  </w:numPicBullet>
  <w:numPicBullet w:numPicBulletId="2">
    <w:pict>
      <v:shape w14:anchorId="5E9464C7" id="_x0000_i1208" type="#_x0000_t75" style="width:27.9pt;height:27.9pt" o:bullet="t">
        <v:imagedata r:id="rId3" o:title="Fleche_jaune"/>
      </v:shape>
    </w:pict>
  </w:numPicBullet>
  <w:numPicBullet w:numPicBulletId="3">
    <w:pict>
      <v:shape id="_x0000_i1209" type="#_x0000_t75" style="width:27.9pt;height:27.9pt" o:bullet="t">
        <v:imagedata r:id="rId4" o:title="Fleche_aubergine"/>
      </v:shape>
    </w:pict>
  </w:numPicBullet>
  <w:numPicBullet w:numPicBulletId="4">
    <w:pict>
      <v:shape id="_x0000_i121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52D22"/>
    <w:rsid w:val="001D36C3"/>
    <w:rsid w:val="0023233D"/>
    <w:rsid w:val="002434A6"/>
    <w:rsid w:val="002F705A"/>
    <w:rsid w:val="00365120"/>
    <w:rsid w:val="003B0015"/>
    <w:rsid w:val="004475DA"/>
    <w:rsid w:val="00460571"/>
    <w:rsid w:val="005009B5"/>
    <w:rsid w:val="00511597"/>
    <w:rsid w:val="00593EDE"/>
    <w:rsid w:val="005C1100"/>
    <w:rsid w:val="005C6282"/>
    <w:rsid w:val="0066464A"/>
    <w:rsid w:val="00684FDF"/>
    <w:rsid w:val="006C4987"/>
    <w:rsid w:val="006E6631"/>
    <w:rsid w:val="007211C5"/>
    <w:rsid w:val="0075127A"/>
    <w:rsid w:val="007759C7"/>
    <w:rsid w:val="007C2CD0"/>
    <w:rsid w:val="007D1941"/>
    <w:rsid w:val="00826BA0"/>
    <w:rsid w:val="00835FC9"/>
    <w:rsid w:val="008A64B6"/>
    <w:rsid w:val="008B2E32"/>
    <w:rsid w:val="00922AD8"/>
    <w:rsid w:val="009522A4"/>
    <w:rsid w:val="0097706F"/>
    <w:rsid w:val="009D35DA"/>
    <w:rsid w:val="00A375FC"/>
    <w:rsid w:val="00A52761"/>
    <w:rsid w:val="00AC2B18"/>
    <w:rsid w:val="00AF529B"/>
    <w:rsid w:val="00C109BF"/>
    <w:rsid w:val="00C96044"/>
    <w:rsid w:val="00D52CFD"/>
    <w:rsid w:val="00D55321"/>
    <w:rsid w:val="00D80A91"/>
    <w:rsid w:val="00D83E41"/>
    <w:rsid w:val="00E049BB"/>
    <w:rsid w:val="00E1204F"/>
    <w:rsid w:val="00E46668"/>
    <w:rsid w:val="00E66D10"/>
    <w:rsid w:val="00E74AAB"/>
    <w:rsid w:val="00F010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1667C"/>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15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2021-07-12T10:09:00Z</dcterms:created>
  <dcterms:modified xsi:type="dcterms:W3CDTF">2021-07-23T13:28:00Z</dcterms:modified>
</cp:coreProperties>
</file>