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BA18E1" w:rsidRDefault="00E1204F" w:rsidP="00BA18E1">
      <w:pPr>
        <w:pStyle w:val="AMFTitre"/>
        <w:ind w:left="0"/>
        <w:jc w:val="both"/>
        <w:rPr>
          <w:sz w:val="24"/>
          <w:szCs w:val="24"/>
        </w:rPr>
      </w:pPr>
      <w:r w:rsidRPr="00BA18E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BA18E1" w:rsidRPr="00BA18E1">
        <w:rPr>
          <w:sz w:val="24"/>
          <w:szCs w:val="24"/>
        </w:rPr>
        <w:t>Dossier de retrait de notification de commercialisation dans un Etat membre de l’Union européenne autre que la France de parts ou actions de FIA de l’Union européenne (y compris français) gérés par une société de gestion de portefeuille agréée en France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BA18E1" w:rsidRDefault="00BA18E1" w:rsidP="00BA18E1">
      <w:pPr>
        <w:pStyle w:val="AMFDate"/>
        <w:ind w:left="0"/>
        <w:jc w:val="both"/>
        <w:rPr>
          <w:rFonts w:asciiTheme="minorHAnsi" w:hAnsiTheme="minorHAnsi" w:cstheme="minorHAnsi"/>
          <w:b w:val="0"/>
        </w:rPr>
      </w:pPr>
      <w:r w:rsidRPr="00BA18E1">
        <w:rPr>
          <w:rFonts w:asciiTheme="minorHAnsi" w:hAnsiTheme="minorHAnsi" w:cstheme="minorHAnsi"/>
          <w:b w:val="0"/>
        </w:rPr>
        <w:t>Ce document constitue l’annexe 4-1 de l’instruction AMF - Procédures de pré-commercialisation et de commercialisation de parts ou actions de FIA – DOC-2014-03</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D559E3" w:rsidRDefault="00D559E3" w:rsidP="00D559E3">
      <w:pPr>
        <w:jc w:val="both"/>
        <w:rPr>
          <w:rFonts w:asciiTheme="minorHAnsi" w:hAnsiTheme="minorHAnsi"/>
          <w:sz w:val="20"/>
          <w:szCs w:val="20"/>
          <w:lang w:val="en-US"/>
        </w:rPr>
      </w:pPr>
    </w:p>
    <w:p w:rsidR="00D559E3" w:rsidRPr="00D559E3" w:rsidRDefault="00D559E3" w:rsidP="00D559E3">
      <w:pPr>
        <w:jc w:val="both"/>
        <w:rPr>
          <w:rFonts w:asciiTheme="minorHAnsi" w:hAnsiTheme="minorHAnsi"/>
          <w:sz w:val="20"/>
          <w:szCs w:val="20"/>
          <w:lang w:val="en-US"/>
        </w:rPr>
      </w:pPr>
      <w:r w:rsidRPr="00D559E3">
        <w:rPr>
          <w:rFonts w:asciiTheme="minorHAnsi" w:hAnsiTheme="minorHAnsi"/>
          <w:sz w:val="20"/>
          <w:szCs w:val="20"/>
          <w:lang w:val="en-US"/>
        </w:rPr>
        <w:t>DE-NOTIFICATION OF INTENTION TO MARKET UNITS OR SHARES OF AN AIF or AIFs OF THE SAME AIFM IN A MEMBER STATE OTHER THAN FRANCE</w:t>
      </w:r>
    </w:p>
    <w:p w:rsidR="00D559E3" w:rsidRPr="00D559E3" w:rsidRDefault="00D559E3" w:rsidP="00D559E3">
      <w:pPr>
        <w:rPr>
          <w:rFonts w:asciiTheme="minorHAnsi" w:hAnsiTheme="minorHAnsi"/>
          <w:sz w:val="20"/>
          <w:szCs w:val="20"/>
          <w:lang w:val="en-US"/>
        </w:rPr>
      </w:pPr>
    </w:p>
    <w:p w:rsidR="00D559E3" w:rsidRPr="00D559E3" w:rsidRDefault="00D559E3" w:rsidP="00D559E3">
      <w:pPr>
        <w:rPr>
          <w:rFonts w:asciiTheme="minorHAnsi" w:hAnsiTheme="minorHAnsi"/>
          <w:sz w:val="20"/>
          <w:szCs w:val="20"/>
          <w:lang w:val="en-US"/>
        </w:rPr>
      </w:pPr>
      <w:r w:rsidRPr="00D559E3">
        <w:rPr>
          <w:rFonts w:asciiTheme="minorHAnsi" w:hAnsiTheme="minorHAnsi"/>
          <w:sz w:val="20"/>
          <w:szCs w:val="20"/>
          <w:lang w:val="en-US"/>
        </w:rPr>
        <w:t>The information provided in this notification letter should not be ambiguous</w:t>
      </w:r>
    </w:p>
    <w:p w:rsidR="00D559E3" w:rsidRPr="00D559E3" w:rsidRDefault="00D559E3" w:rsidP="00D559E3">
      <w:pPr>
        <w:rPr>
          <w:rFonts w:asciiTheme="minorHAnsi" w:hAnsiTheme="minorHAnsi"/>
          <w:sz w:val="20"/>
          <w:szCs w:val="20"/>
        </w:rPr>
      </w:pPr>
    </w:p>
    <w:p w:rsidR="00D559E3" w:rsidRPr="00D559E3" w:rsidRDefault="00D559E3" w:rsidP="00D559E3">
      <w:pPr>
        <w:rPr>
          <w:rFonts w:asciiTheme="minorHAnsi" w:hAnsiTheme="minorHAnsi"/>
          <w:sz w:val="20"/>
          <w:szCs w:val="20"/>
          <w:lang w:val="en-US"/>
        </w:rPr>
      </w:pPr>
      <w:r w:rsidRPr="00D559E3">
        <w:rPr>
          <w:rFonts w:asciiTheme="minorHAnsi" w:hAnsiTheme="minorHAnsi"/>
          <w:sz w:val="20"/>
          <w:szCs w:val="20"/>
          <w:lang w:val="en-US"/>
        </w:rPr>
        <w:t>Contact details at the AIFM (registered address of the AIFM</w:t>
      </w:r>
      <w:r>
        <w:rPr>
          <w:rFonts w:asciiTheme="minorHAnsi" w:hAnsiTheme="minorHAnsi"/>
          <w:sz w:val="20"/>
          <w:szCs w:val="20"/>
          <w:lang w:val="en-US"/>
        </w:rPr>
        <w:t>)</w:t>
      </w:r>
      <w:r w:rsidRPr="00D559E3">
        <w:rPr>
          <w:rFonts w:asciiTheme="minorHAnsi" w:hAnsiTheme="minorHAnsi"/>
          <w:sz w:val="20"/>
          <w:szCs w:val="20"/>
          <w:lang w:val="en-US"/>
        </w:rPr>
        <w:t>:</w:t>
      </w:r>
    </w:p>
    <w:p w:rsidR="00D559E3" w:rsidRPr="00D559E3" w:rsidRDefault="00D559E3" w:rsidP="00D559E3">
      <w:pPr>
        <w:rPr>
          <w:rFonts w:asciiTheme="minorHAnsi" w:hAnsiTheme="minorHAnsi"/>
          <w:sz w:val="20"/>
          <w:szCs w:val="20"/>
        </w:rPr>
      </w:pP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r w:rsidRPr="00D559E3">
        <w:rPr>
          <w:rFonts w:asciiTheme="minorHAnsi" w:hAnsiTheme="minorHAnsi"/>
          <w:sz w:val="20"/>
          <w:szCs w:val="20"/>
        </w:rPr>
        <w:softHyphen/>
      </w:r>
    </w:p>
    <w:p w:rsidR="00D559E3" w:rsidRPr="00D559E3" w:rsidRDefault="00D559E3" w:rsidP="00D559E3">
      <w:pPr>
        <w:rPr>
          <w:rFonts w:asciiTheme="minorHAnsi" w:hAnsiTheme="minorHAnsi"/>
          <w:sz w:val="20"/>
          <w:szCs w:val="20"/>
        </w:rPr>
      </w:pPr>
      <w:r w:rsidRPr="00D559E3">
        <w:rPr>
          <w:rFonts w:asciiTheme="minorHAnsi" w:hAnsiTheme="minorHAnsi"/>
          <w:sz w:val="20"/>
          <w:szCs w:val="20"/>
        </w:rPr>
        <w:t>____________________________________________________________________________________________________</w:t>
      </w:r>
    </w:p>
    <w:p w:rsidR="00D559E3" w:rsidRPr="00D559E3" w:rsidRDefault="00D559E3" w:rsidP="00D559E3">
      <w:pPr>
        <w:rPr>
          <w:rFonts w:asciiTheme="minorHAnsi" w:hAnsiTheme="minorHAnsi"/>
          <w:sz w:val="20"/>
          <w:szCs w:val="20"/>
        </w:rPr>
      </w:pPr>
    </w:p>
    <w:p w:rsidR="00D559E3" w:rsidRPr="00D559E3" w:rsidRDefault="00D559E3" w:rsidP="00D559E3">
      <w:pPr>
        <w:rPr>
          <w:rFonts w:asciiTheme="minorHAnsi" w:hAnsiTheme="minorHAnsi"/>
          <w:sz w:val="20"/>
          <w:szCs w:val="20"/>
          <w:lang w:val="en-US"/>
        </w:rPr>
      </w:pPr>
      <w:r w:rsidRPr="00D559E3">
        <w:rPr>
          <w:rFonts w:asciiTheme="minorHAnsi" w:hAnsiTheme="minorHAnsi"/>
          <w:sz w:val="20"/>
          <w:szCs w:val="20"/>
          <w:lang w:val="en-US"/>
        </w:rPr>
        <w:t>Registered address of the AIFM:</w:t>
      </w:r>
    </w:p>
    <w:p w:rsidR="00D559E3" w:rsidRPr="00D559E3" w:rsidRDefault="00D559E3" w:rsidP="00D559E3">
      <w:pPr>
        <w:rPr>
          <w:rFonts w:asciiTheme="minorHAnsi" w:hAnsiTheme="minorHAnsi"/>
          <w:sz w:val="20"/>
          <w:szCs w:val="20"/>
        </w:rPr>
      </w:pPr>
    </w:p>
    <w:p w:rsidR="00D559E3" w:rsidRPr="00D559E3" w:rsidRDefault="00D559E3" w:rsidP="00D559E3">
      <w:pPr>
        <w:rPr>
          <w:rFonts w:asciiTheme="minorHAnsi" w:hAnsiTheme="minorHAnsi"/>
          <w:sz w:val="20"/>
          <w:szCs w:val="20"/>
        </w:rPr>
      </w:pPr>
      <w:r w:rsidRPr="00D559E3">
        <w:rPr>
          <w:rFonts w:asciiTheme="minorHAnsi" w:hAnsiTheme="minorHAnsi"/>
          <w:sz w:val="20"/>
          <w:szCs w:val="20"/>
        </w:rPr>
        <w:t>____________________________________________________________________________________________________</w:t>
      </w:r>
    </w:p>
    <w:p w:rsidR="00D559E3" w:rsidRPr="00D559E3" w:rsidRDefault="00D559E3" w:rsidP="00D559E3">
      <w:pPr>
        <w:rPr>
          <w:rFonts w:asciiTheme="minorHAnsi" w:hAnsiTheme="minorHAnsi"/>
          <w:sz w:val="20"/>
          <w:szCs w:val="20"/>
        </w:rPr>
      </w:pPr>
    </w:p>
    <w:p w:rsidR="00D559E3" w:rsidRPr="00D559E3" w:rsidRDefault="00D559E3" w:rsidP="00D559E3">
      <w:pPr>
        <w:rPr>
          <w:rFonts w:asciiTheme="minorHAnsi" w:hAnsiTheme="minorHAnsi"/>
          <w:sz w:val="20"/>
          <w:szCs w:val="20"/>
        </w:rPr>
      </w:pPr>
      <w:r w:rsidRPr="00D559E3">
        <w:rPr>
          <w:rFonts w:asciiTheme="minorHAnsi" w:hAnsiTheme="minorHAnsi"/>
          <w:sz w:val="20"/>
          <w:szCs w:val="20"/>
        </w:rPr>
        <w:t xml:space="preserve">Contact détails of the personne in charge of the de-notification </w:t>
      </w:r>
      <w:proofErr w:type="spellStart"/>
      <w:r w:rsidRPr="00D559E3">
        <w:rPr>
          <w:rFonts w:asciiTheme="minorHAnsi" w:hAnsiTheme="minorHAnsi"/>
          <w:sz w:val="20"/>
          <w:szCs w:val="20"/>
        </w:rPr>
        <w:t>within</w:t>
      </w:r>
      <w:proofErr w:type="spellEnd"/>
      <w:r w:rsidRPr="00D559E3">
        <w:rPr>
          <w:rFonts w:asciiTheme="minorHAnsi" w:hAnsiTheme="minorHAnsi"/>
          <w:sz w:val="20"/>
          <w:szCs w:val="20"/>
        </w:rPr>
        <w:t xml:space="preserve"> the AIFM : </w:t>
      </w:r>
    </w:p>
    <w:p w:rsidR="00D559E3" w:rsidRPr="00D559E3" w:rsidRDefault="00D559E3" w:rsidP="00D559E3">
      <w:pPr>
        <w:rPr>
          <w:rFonts w:asciiTheme="minorHAnsi" w:hAnsiTheme="minorHAnsi"/>
          <w:sz w:val="20"/>
          <w:szCs w:val="20"/>
        </w:rPr>
      </w:pPr>
    </w:p>
    <w:p w:rsidR="00D559E3" w:rsidRPr="00D559E3" w:rsidRDefault="00D559E3" w:rsidP="00D559E3">
      <w:pPr>
        <w:rPr>
          <w:rFonts w:asciiTheme="minorHAnsi" w:hAnsiTheme="minorHAnsi"/>
          <w:sz w:val="20"/>
          <w:szCs w:val="20"/>
        </w:rPr>
      </w:pPr>
      <w:r w:rsidRPr="00D559E3">
        <w:rPr>
          <w:rFonts w:asciiTheme="minorHAnsi" w:hAnsiTheme="minorHAnsi"/>
          <w:sz w:val="20"/>
          <w:szCs w:val="20"/>
        </w:rPr>
        <w:t>De-notification date</w:t>
      </w:r>
      <w:r w:rsidRPr="00D559E3">
        <w:rPr>
          <w:rFonts w:asciiTheme="minorHAnsi" w:hAnsiTheme="minorHAnsi"/>
          <w:sz w:val="20"/>
          <w:szCs w:val="20"/>
          <w:vertAlign w:val="superscript"/>
        </w:rPr>
        <w:footnoteReference w:id="1"/>
      </w:r>
      <w:r w:rsidRPr="00D559E3">
        <w:rPr>
          <w:rFonts w:asciiTheme="minorHAnsi" w:hAnsiTheme="minorHAnsi"/>
          <w:sz w:val="20"/>
          <w:szCs w:val="20"/>
        </w:rPr>
        <w:t> :</w:t>
      </w:r>
    </w:p>
    <w:p w:rsidR="00D559E3" w:rsidRPr="00D559E3" w:rsidRDefault="00D559E3" w:rsidP="00D559E3">
      <w:pPr>
        <w:rPr>
          <w:rFonts w:asciiTheme="minorHAnsi" w:hAnsiTheme="minorHAnsi"/>
          <w:sz w:val="20"/>
          <w:szCs w:val="20"/>
        </w:rPr>
      </w:pPr>
    </w:p>
    <w:p w:rsidR="00D559E3" w:rsidRPr="00D559E3" w:rsidRDefault="00D559E3" w:rsidP="00D559E3">
      <w:pPr>
        <w:rPr>
          <w:rFonts w:asciiTheme="minorHAnsi" w:hAnsiTheme="minorHAnsi"/>
          <w:sz w:val="20"/>
          <w:szCs w:val="20"/>
          <w:lang w:val="en-US"/>
        </w:rPr>
      </w:pPr>
      <w:r w:rsidRPr="00D559E3">
        <w:rPr>
          <w:rFonts w:asciiTheme="minorHAnsi" w:hAnsiTheme="minorHAnsi"/>
          <w:sz w:val="20"/>
          <w:szCs w:val="20"/>
          <w:lang w:val="en-US"/>
        </w:rPr>
        <w:t xml:space="preserve">Does the AIF(s) have compartments?  Yes  </w:t>
      </w:r>
      <w:r w:rsidRPr="00D559E3">
        <w:rPr>
          <w:rFonts w:asciiTheme="minorHAnsi" w:hAnsiTheme="minorHAnsi"/>
          <w:b/>
          <w:sz w:val="20"/>
          <w:szCs w:val="20"/>
        </w:rPr>
        <w:fldChar w:fldCharType="begin">
          <w:ffData>
            <w:name w:val="Check15"/>
            <w:enabled/>
            <w:calcOnExit w:val="0"/>
            <w:checkBox>
              <w:sizeAuto/>
              <w:default w:val="0"/>
            </w:checkBox>
          </w:ffData>
        </w:fldChar>
      </w:r>
      <w:r w:rsidRPr="00D559E3">
        <w:rPr>
          <w:rFonts w:asciiTheme="minorHAnsi" w:hAnsiTheme="minorHAnsi"/>
          <w:b/>
          <w:sz w:val="20"/>
          <w:szCs w:val="20"/>
          <w:lang w:val="en-US"/>
        </w:rPr>
        <w:instrText xml:space="preserve"> FORMCHECKBOX </w:instrText>
      </w:r>
      <w:r w:rsidRPr="00D559E3">
        <w:rPr>
          <w:rFonts w:asciiTheme="minorHAnsi" w:hAnsiTheme="minorHAnsi"/>
          <w:b/>
          <w:sz w:val="20"/>
          <w:szCs w:val="20"/>
        </w:rPr>
      </w:r>
      <w:r w:rsidRPr="00D559E3">
        <w:rPr>
          <w:rFonts w:asciiTheme="minorHAnsi" w:hAnsiTheme="minorHAnsi"/>
          <w:sz w:val="20"/>
          <w:szCs w:val="20"/>
        </w:rPr>
        <w:fldChar w:fldCharType="end"/>
      </w:r>
      <w:r w:rsidRPr="00D559E3">
        <w:rPr>
          <w:rFonts w:asciiTheme="minorHAnsi" w:hAnsiTheme="minorHAnsi"/>
          <w:sz w:val="20"/>
          <w:szCs w:val="20"/>
          <w:lang w:val="en-US"/>
        </w:rPr>
        <w:t xml:space="preserve">  No </w:t>
      </w:r>
      <w:r w:rsidRPr="00D559E3">
        <w:rPr>
          <w:rFonts w:asciiTheme="minorHAnsi" w:hAnsiTheme="minorHAnsi"/>
          <w:b/>
          <w:sz w:val="20"/>
          <w:szCs w:val="20"/>
        </w:rPr>
        <w:fldChar w:fldCharType="begin">
          <w:ffData>
            <w:name w:val="Check15"/>
            <w:enabled/>
            <w:calcOnExit w:val="0"/>
            <w:checkBox>
              <w:sizeAuto/>
              <w:default w:val="0"/>
            </w:checkBox>
          </w:ffData>
        </w:fldChar>
      </w:r>
      <w:r w:rsidRPr="00D559E3">
        <w:rPr>
          <w:rFonts w:asciiTheme="minorHAnsi" w:hAnsiTheme="minorHAnsi"/>
          <w:b/>
          <w:sz w:val="20"/>
          <w:szCs w:val="20"/>
          <w:lang w:val="en-US"/>
        </w:rPr>
        <w:instrText xml:space="preserve"> FORMCHECKBOX </w:instrText>
      </w:r>
      <w:r w:rsidRPr="00D559E3">
        <w:rPr>
          <w:rFonts w:asciiTheme="minorHAnsi" w:hAnsiTheme="minorHAnsi"/>
          <w:b/>
          <w:sz w:val="20"/>
          <w:szCs w:val="20"/>
        </w:rPr>
      </w:r>
      <w:r w:rsidRPr="00D559E3">
        <w:rPr>
          <w:rFonts w:asciiTheme="minorHAnsi" w:hAnsiTheme="minorHAnsi"/>
          <w:sz w:val="20"/>
          <w:szCs w:val="20"/>
        </w:rPr>
        <w:fldChar w:fldCharType="end"/>
      </w: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tbl>
      <w:tblPr>
        <w:tblW w:w="606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931"/>
        <w:gridCol w:w="1242"/>
        <w:gridCol w:w="1112"/>
        <w:gridCol w:w="1570"/>
        <w:gridCol w:w="1156"/>
        <w:gridCol w:w="1294"/>
        <w:gridCol w:w="1151"/>
        <w:gridCol w:w="1151"/>
      </w:tblGrid>
      <w:tr w:rsidR="00774AEC" w:rsidRPr="00774AEC" w:rsidTr="001B4C4E">
        <w:tc>
          <w:tcPr>
            <w:tcW w:w="703" w:type="pct"/>
            <w:shd w:val="clear" w:color="auto" w:fill="auto"/>
          </w:tcPr>
          <w:p w:rsidR="00774AEC" w:rsidRPr="00774AEC" w:rsidRDefault="00774AEC" w:rsidP="00774AEC">
            <w:pPr>
              <w:spacing w:line="240" w:lineRule="atLeast"/>
              <w:contextualSpacing/>
              <w:jc w:val="both"/>
              <w:rPr>
                <w:rFonts w:asciiTheme="minorHAnsi" w:eastAsia="Times" w:hAnsiTheme="minorHAnsi" w:cs="Arial"/>
                <w:sz w:val="20"/>
                <w:szCs w:val="20"/>
                <w:highlight w:val="yellow"/>
              </w:rPr>
            </w:pPr>
            <w:r w:rsidRPr="00774AEC">
              <w:rPr>
                <w:rFonts w:asciiTheme="minorHAnsi" w:eastAsia="Times" w:hAnsiTheme="minorHAnsi" w:cs="Arial"/>
                <w:sz w:val="20"/>
                <w:szCs w:val="20"/>
                <w:lang w:val="en-US"/>
              </w:rPr>
              <w:t xml:space="preserve">Name of the AIF or AIFs/or compartment(s) subject to the de-notification </w:t>
            </w:r>
          </w:p>
        </w:tc>
        <w:tc>
          <w:tcPr>
            <w:tcW w:w="417" w:type="pct"/>
            <w:shd w:val="clear" w:color="auto" w:fill="auto"/>
          </w:tcPr>
          <w:p w:rsidR="00774AEC" w:rsidRPr="00774AEC" w:rsidRDefault="00774AEC" w:rsidP="00774AEC">
            <w:pPr>
              <w:spacing w:line="240" w:lineRule="atLeast"/>
              <w:contextualSpacing/>
              <w:jc w:val="both"/>
              <w:rPr>
                <w:rFonts w:asciiTheme="minorHAnsi" w:eastAsia="Times" w:hAnsiTheme="minorHAnsi" w:cs="Arial"/>
                <w:sz w:val="20"/>
                <w:szCs w:val="20"/>
              </w:rPr>
            </w:pPr>
            <w:r w:rsidRPr="00774AEC">
              <w:rPr>
                <w:rFonts w:asciiTheme="minorHAnsi" w:eastAsia="Times" w:hAnsiTheme="minorHAnsi" w:cs="Arial"/>
                <w:sz w:val="20"/>
                <w:szCs w:val="20"/>
              </w:rPr>
              <w:t xml:space="preserve">AIF home </w:t>
            </w:r>
            <w:proofErr w:type="spellStart"/>
            <w:r w:rsidRPr="00774AEC">
              <w:rPr>
                <w:rFonts w:asciiTheme="minorHAnsi" w:eastAsia="Times" w:hAnsiTheme="minorHAnsi" w:cs="Arial"/>
                <w:sz w:val="20"/>
                <w:szCs w:val="20"/>
              </w:rPr>
              <w:t>Member</w:t>
            </w:r>
            <w:proofErr w:type="spellEnd"/>
            <w:r w:rsidRPr="00774AEC">
              <w:rPr>
                <w:rFonts w:asciiTheme="minorHAnsi" w:eastAsia="Times" w:hAnsiTheme="minorHAnsi" w:cs="Arial"/>
                <w:sz w:val="20"/>
                <w:szCs w:val="20"/>
              </w:rPr>
              <w:t xml:space="preserve"> State</w:t>
            </w:r>
          </w:p>
        </w:tc>
        <w:tc>
          <w:tcPr>
            <w:tcW w:w="556" w:type="pct"/>
            <w:shd w:val="clear" w:color="auto" w:fill="auto"/>
          </w:tcPr>
          <w:p w:rsidR="00774AEC" w:rsidRPr="00774AEC" w:rsidRDefault="00774AEC" w:rsidP="00774AEC">
            <w:pPr>
              <w:spacing w:line="240" w:lineRule="atLeast"/>
              <w:contextualSpacing/>
              <w:jc w:val="both"/>
              <w:rPr>
                <w:rFonts w:asciiTheme="minorHAnsi" w:eastAsia="Times" w:hAnsiTheme="minorHAnsi" w:cs="Arial"/>
                <w:sz w:val="20"/>
                <w:szCs w:val="20"/>
              </w:rPr>
            </w:pPr>
            <w:proofErr w:type="spellStart"/>
            <w:r w:rsidRPr="00774AEC">
              <w:rPr>
                <w:rFonts w:asciiTheme="minorHAnsi" w:eastAsia="Times" w:hAnsiTheme="minorHAnsi" w:cs="Arial"/>
                <w:sz w:val="20"/>
                <w:szCs w:val="20"/>
              </w:rPr>
              <w:t>Legal</w:t>
            </w:r>
            <w:proofErr w:type="spellEnd"/>
            <w:r w:rsidRPr="00774AEC">
              <w:rPr>
                <w:rFonts w:asciiTheme="minorHAnsi" w:eastAsia="Times" w:hAnsiTheme="minorHAnsi" w:cs="Arial"/>
                <w:sz w:val="20"/>
                <w:szCs w:val="20"/>
              </w:rPr>
              <w:t xml:space="preserve"> </w:t>
            </w:r>
            <w:proofErr w:type="spellStart"/>
            <w:r w:rsidRPr="00774AEC">
              <w:rPr>
                <w:rFonts w:asciiTheme="minorHAnsi" w:eastAsia="Times" w:hAnsiTheme="minorHAnsi" w:cs="Arial"/>
                <w:sz w:val="20"/>
                <w:szCs w:val="20"/>
              </w:rPr>
              <w:t>form</w:t>
            </w:r>
            <w:proofErr w:type="spellEnd"/>
            <w:r w:rsidRPr="00774AEC">
              <w:rPr>
                <w:rFonts w:asciiTheme="minorHAnsi" w:eastAsia="Times" w:hAnsiTheme="minorHAnsi" w:cs="Arial"/>
                <w:sz w:val="20"/>
                <w:szCs w:val="20"/>
              </w:rPr>
              <w:t xml:space="preserve"> (</w:t>
            </w:r>
            <w:proofErr w:type="spellStart"/>
            <w:r w:rsidRPr="00774AEC">
              <w:rPr>
                <w:rFonts w:asciiTheme="minorHAnsi" w:eastAsia="Times" w:hAnsiTheme="minorHAnsi" w:cs="Arial"/>
                <w:sz w:val="20"/>
                <w:szCs w:val="20"/>
              </w:rPr>
              <w:t>common</w:t>
            </w:r>
            <w:proofErr w:type="spellEnd"/>
            <w:r w:rsidRPr="00774AEC">
              <w:rPr>
                <w:rFonts w:asciiTheme="minorHAnsi" w:eastAsia="Times" w:hAnsiTheme="minorHAnsi" w:cs="Arial"/>
                <w:sz w:val="20"/>
                <w:szCs w:val="20"/>
              </w:rPr>
              <w:t xml:space="preserve"> </w:t>
            </w:r>
            <w:proofErr w:type="spellStart"/>
            <w:r w:rsidRPr="00774AEC">
              <w:rPr>
                <w:rFonts w:asciiTheme="minorHAnsi" w:eastAsia="Times" w:hAnsiTheme="minorHAnsi" w:cs="Arial"/>
                <w:sz w:val="20"/>
                <w:szCs w:val="20"/>
              </w:rPr>
              <w:t>fund</w:t>
            </w:r>
            <w:proofErr w:type="spellEnd"/>
            <w:r w:rsidRPr="00774AEC">
              <w:rPr>
                <w:rFonts w:asciiTheme="minorHAnsi" w:eastAsia="Times" w:hAnsiTheme="minorHAnsi" w:cs="Arial"/>
                <w:sz w:val="20"/>
                <w:szCs w:val="20"/>
              </w:rPr>
              <w:t xml:space="preserve">, unit trust, </w:t>
            </w:r>
            <w:proofErr w:type="spellStart"/>
            <w:r w:rsidRPr="00774AEC">
              <w:rPr>
                <w:rFonts w:asciiTheme="minorHAnsi" w:eastAsia="Times" w:hAnsiTheme="minorHAnsi" w:cs="Arial"/>
                <w:sz w:val="20"/>
                <w:szCs w:val="20"/>
              </w:rPr>
              <w:t>investment</w:t>
            </w:r>
            <w:proofErr w:type="spellEnd"/>
            <w:r w:rsidRPr="00774AEC">
              <w:rPr>
                <w:rFonts w:asciiTheme="minorHAnsi" w:eastAsia="Times" w:hAnsiTheme="minorHAnsi" w:cs="Arial"/>
                <w:sz w:val="20"/>
                <w:szCs w:val="20"/>
              </w:rPr>
              <w:t xml:space="preserve"> </w:t>
            </w:r>
            <w:proofErr w:type="spellStart"/>
            <w:r w:rsidRPr="00774AEC">
              <w:rPr>
                <w:rFonts w:asciiTheme="minorHAnsi" w:eastAsia="Times" w:hAnsiTheme="minorHAnsi" w:cs="Arial"/>
                <w:sz w:val="20"/>
                <w:szCs w:val="20"/>
              </w:rPr>
              <w:t>company</w:t>
            </w:r>
            <w:proofErr w:type="spellEnd"/>
            <w:r w:rsidRPr="00774AEC">
              <w:rPr>
                <w:rFonts w:asciiTheme="minorHAnsi" w:eastAsia="Times" w:hAnsiTheme="minorHAnsi" w:cs="Arial"/>
                <w:sz w:val="20"/>
                <w:szCs w:val="20"/>
              </w:rPr>
              <w:t xml:space="preserve">, </w:t>
            </w:r>
            <w:proofErr w:type="spellStart"/>
            <w:r w:rsidRPr="00774AEC">
              <w:rPr>
                <w:rFonts w:asciiTheme="minorHAnsi" w:eastAsia="Times" w:hAnsiTheme="minorHAnsi" w:cs="Arial"/>
                <w:sz w:val="20"/>
                <w:szCs w:val="20"/>
              </w:rPr>
              <w:t>partnership</w:t>
            </w:r>
            <w:proofErr w:type="spellEnd"/>
            <w:r w:rsidRPr="00774AEC">
              <w:rPr>
                <w:rFonts w:asciiTheme="minorHAnsi" w:eastAsia="Times" w:hAnsiTheme="minorHAnsi" w:cs="Arial"/>
                <w:sz w:val="20"/>
                <w:szCs w:val="20"/>
              </w:rPr>
              <w:t xml:space="preserve">, </w:t>
            </w:r>
            <w:proofErr w:type="spellStart"/>
            <w:r w:rsidRPr="00774AEC">
              <w:rPr>
                <w:rFonts w:asciiTheme="minorHAnsi" w:eastAsia="Times" w:hAnsiTheme="minorHAnsi" w:cs="Arial"/>
                <w:sz w:val="20"/>
                <w:szCs w:val="20"/>
              </w:rPr>
              <w:t>other</w:t>
            </w:r>
            <w:proofErr w:type="spellEnd"/>
            <w:r w:rsidRPr="00774AEC">
              <w:rPr>
                <w:rFonts w:asciiTheme="minorHAnsi" w:eastAsia="Times" w:hAnsiTheme="minorHAnsi" w:cs="Arial"/>
                <w:sz w:val="20"/>
                <w:szCs w:val="20"/>
              </w:rPr>
              <w:t xml:space="preserve"> (</w:t>
            </w:r>
            <w:proofErr w:type="spellStart"/>
            <w:r w:rsidRPr="00774AEC">
              <w:rPr>
                <w:rFonts w:asciiTheme="minorHAnsi" w:eastAsia="Times" w:hAnsiTheme="minorHAnsi" w:cs="Arial"/>
                <w:sz w:val="20"/>
                <w:szCs w:val="20"/>
              </w:rPr>
              <w:t>please</w:t>
            </w:r>
            <w:proofErr w:type="spellEnd"/>
            <w:r w:rsidRPr="00774AEC">
              <w:rPr>
                <w:rFonts w:asciiTheme="minorHAnsi" w:eastAsia="Times" w:hAnsiTheme="minorHAnsi" w:cs="Arial"/>
                <w:sz w:val="20"/>
                <w:szCs w:val="20"/>
              </w:rPr>
              <w:t xml:space="preserve"> </w:t>
            </w:r>
            <w:proofErr w:type="spellStart"/>
            <w:r w:rsidRPr="00774AEC">
              <w:rPr>
                <w:rFonts w:asciiTheme="minorHAnsi" w:eastAsia="Times" w:hAnsiTheme="minorHAnsi" w:cs="Arial"/>
                <w:sz w:val="20"/>
                <w:szCs w:val="20"/>
              </w:rPr>
              <w:t>specify</w:t>
            </w:r>
            <w:proofErr w:type="spellEnd"/>
            <w:r w:rsidRPr="00774AEC">
              <w:rPr>
                <w:rFonts w:asciiTheme="minorHAnsi" w:eastAsia="Times" w:hAnsiTheme="minorHAnsi" w:cs="Arial"/>
                <w:sz w:val="20"/>
                <w:szCs w:val="20"/>
              </w:rPr>
              <w:t>))</w:t>
            </w:r>
          </w:p>
        </w:tc>
        <w:tc>
          <w:tcPr>
            <w:tcW w:w="498" w:type="pct"/>
          </w:tcPr>
          <w:p w:rsidR="00774AEC" w:rsidRPr="00774AEC" w:rsidRDefault="00774AEC" w:rsidP="00774AEC">
            <w:pPr>
              <w:spacing w:line="240" w:lineRule="atLeast"/>
              <w:contextualSpacing/>
              <w:jc w:val="both"/>
              <w:rPr>
                <w:rFonts w:asciiTheme="minorHAnsi" w:eastAsia="Times" w:hAnsiTheme="minorHAnsi" w:cs="Arial"/>
                <w:sz w:val="20"/>
                <w:szCs w:val="20"/>
              </w:rPr>
            </w:pPr>
            <w:r w:rsidRPr="00774AEC">
              <w:rPr>
                <w:rFonts w:asciiTheme="minorHAnsi" w:eastAsia="Times" w:hAnsiTheme="minorHAnsi" w:cs="Arial"/>
                <w:sz w:val="20"/>
                <w:szCs w:val="20"/>
                <w:lang w:val="en-US"/>
              </w:rPr>
              <w:t>Name of the depositary of the AIF</w:t>
            </w:r>
            <w:r w:rsidRPr="00774AEC">
              <w:rPr>
                <w:rFonts w:asciiTheme="minorHAnsi" w:eastAsia="Times" w:hAnsiTheme="minorHAnsi" w:cs="Arial"/>
                <w:sz w:val="20"/>
                <w:szCs w:val="20"/>
                <w:vertAlign w:val="superscript"/>
              </w:rPr>
              <w:footnoteReference w:id="2"/>
            </w:r>
          </w:p>
        </w:tc>
        <w:tc>
          <w:tcPr>
            <w:tcW w:w="703" w:type="pct"/>
            <w:shd w:val="clear" w:color="auto" w:fill="auto"/>
          </w:tcPr>
          <w:p w:rsidR="00774AEC" w:rsidRPr="00774AEC" w:rsidRDefault="00774AEC" w:rsidP="00774AEC">
            <w:pPr>
              <w:spacing w:line="240" w:lineRule="atLeast"/>
              <w:contextualSpacing/>
              <w:jc w:val="both"/>
              <w:rPr>
                <w:rFonts w:asciiTheme="minorHAnsi" w:eastAsia="Times" w:hAnsiTheme="minorHAnsi" w:cs="Arial"/>
                <w:sz w:val="20"/>
                <w:szCs w:val="20"/>
              </w:rPr>
            </w:pPr>
            <w:r w:rsidRPr="00774AEC">
              <w:rPr>
                <w:rFonts w:asciiTheme="minorHAnsi" w:eastAsia="Times" w:hAnsiTheme="minorHAnsi" w:cs="Arial"/>
                <w:sz w:val="20"/>
                <w:szCs w:val="20"/>
              </w:rPr>
              <w:t xml:space="preserve">Name of the master AIF/or </w:t>
            </w:r>
            <w:proofErr w:type="spellStart"/>
            <w:r w:rsidRPr="00774AEC">
              <w:rPr>
                <w:rFonts w:asciiTheme="minorHAnsi" w:eastAsia="Times" w:hAnsiTheme="minorHAnsi" w:cs="Arial"/>
                <w:sz w:val="20"/>
                <w:szCs w:val="20"/>
              </w:rPr>
              <w:t>compartment</w:t>
            </w:r>
            <w:proofErr w:type="spellEnd"/>
            <w:r w:rsidRPr="00774AEC">
              <w:rPr>
                <w:rFonts w:asciiTheme="minorHAnsi" w:eastAsia="Times" w:hAnsiTheme="minorHAnsi" w:cs="Arial"/>
                <w:sz w:val="20"/>
                <w:szCs w:val="20"/>
              </w:rPr>
              <w:t>(s) (if applicable)</w:t>
            </w:r>
          </w:p>
        </w:tc>
        <w:tc>
          <w:tcPr>
            <w:tcW w:w="517" w:type="pct"/>
            <w:shd w:val="clear" w:color="auto" w:fill="auto"/>
          </w:tcPr>
          <w:p w:rsidR="00774AEC" w:rsidRPr="00774AEC" w:rsidRDefault="00774AEC" w:rsidP="00774AEC">
            <w:pPr>
              <w:spacing w:line="240" w:lineRule="atLeast"/>
              <w:contextualSpacing/>
              <w:jc w:val="both"/>
              <w:rPr>
                <w:rFonts w:asciiTheme="minorHAnsi" w:eastAsia="Times" w:hAnsiTheme="minorHAnsi" w:cs="Arial"/>
                <w:sz w:val="20"/>
                <w:szCs w:val="20"/>
                <w:highlight w:val="yellow"/>
              </w:rPr>
            </w:pPr>
            <w:r w:rsidRPr="00774AEC">
              <w:rPr>
                <w:rFonts w:asciiTheme="minorHAnsi" w:eastAsia="Times" w:hAnsiTheme="minorHAnsi" w:cs="Arial"/>
                <w:sz w:val="20"/>
                <w:szCs w:val="20"/>
                <w:lang w:val="en-US"/>
              </w:rPr>
              <w:t>Home Member State of the master AIF (if applicable)</w:t>
            </w:r>
            <w:r w:rsidRPr="00774AEC">
              <w:rPr>
                <w:rFonts w:asciiTheme="minorHAnsi" w:eastAsia="Times" w:hAnsiTheme="minorHAnsi" w:cs="Arial"/>
                <w:sz w:val="20"/>
                <w:szCs w:val="20"/>
              </w:rPr>
              <w:t xml:space="preserve"> </w:t>
            </w:r>
          </w:p>
        </w:tc>
        <w:tc>
          <w:tcPr>
            <w:tcW w:w="579" w:type="pct"/>
            <w:shd w:val="clear" w:color="auto" w:fill="auto"/>
          </w:tcPr>
          <w:p w:rsidR="00774AEC" w:rsidRPr="00774AEC" w:rsidRDefault="00774AEC" w:rsidP="00774AEC">
            <w:pPr>
              <w:spacing w:line="240" w:lineRule="atLeast"/>
              <w:contextualSpacing/>
              <w:jc w:val="both"/>
              <w:rPr>
                <w:rFonts w:asciiTheme="minorHAnsi" w:eastAsia="Times" w:hAnsiTheme="minorHAnsi" w:cs="Arial"/>
                <w:sz w:val="20"/>
                <w:szCs w:val="20"/>
                <w:highlight w:val="yellow"/>
              </w:rPr>
            </w:pPr>
            <w:r w:rsidRPr="00774AEC">
              <w:rPr>
                <w:rFonts w:asciiTheme="minorHAnsi" w:eastAsia="Times" w:hAnsiTheme="minorHAnsi" w:cs="Arial"/>
                <w:sz w:val="20"/>
                <w:szCs w:val="20"/>
                <w:lang w:val="en-US"/>
              </w:rPr>
              <w:t xml:space="preserve">AIF’s investment strategy (please specify the predominant AIF and the breakdown by investment strategies as </w:t>
            </w:r>
            <w:r w:rsidRPr="00774AEC">
              <w:rPr>
                <w:rFonts w:asciiTheme="minorHAnsi" w:eastAsia="Times" w:hAnsiTheme="minorHAnsi" w:cs="Arial"/>
                <w:sz w:val="20"/>
                <w:szCs w:val="20"/>
                <w:lang w:val="en-US"/>
              </w:rPr>
              <w:lastRenderedPageBreak/>
              <w:t>set out in the reporting template included in Regulation 231/2013)</w:t>
            </w:r>
          </w:p>
        </w:tc>
        <w:tc>
          <w:tcPr>
            <w:tcW w:w="513" w:type="pct"/>
          </w:tcPr>
          <w:p w:rsidR="00774AEC" w:rsidRPr="00774AEC" w:rsidRDefault="00774AEC" w:rsidP="00774AEC">
            <w:pPr>
              <w:spacing w:line="240" w:lineRule="atLeast"/>
              <w:contextualSpacing/>
              <w:jc w:val="both"/>
              <w:rPr>
                <w:rFonts w:asciiTheme="minorHAnsi" w:eastAsia="Times" w:hAnsiTheme="minorHAnsi" w:cs="Arial"/>
                <w:sz w:val="20"/>
                <w:szCs w:val="20"/>
                <w:lang w:val="en-US"/>
              </w:rPr>
            </w:pPr>
            <w:r w:rsidRPr="00774AEC">
              <w:rPr>
                <w:rFonts w:asciiTheme="minorHAnsi" w:eastAsia="Times" w:hAnsiTheme="minorHAnsi" w:cs="Arial"/>
                <w:sz w:val="20"/>
                <w:szCs w:val="20"/>
                <w:lang w:val="en-US"/>
              </w:rPr>
              <w:lastRenderedPageBreak/>
              <w:t>Member State in which the de-notification is requested</w:t>
            </w:r>
          </w:p>
        </w:tc>
        <w:tc>
          <w:tcPr>
            <w:tcW w:w="513" w:type="pct"/>
          </w:tcPr>
          <w:p w:rsidR="00774AEC" w:rsidRPr="00774AEC" w:rsidRDefault="00774AEC" w:rsidP="00774AEC">
            <w:pPr>
              <w:spacing w:line="240" w:lineRule="atLeast"/>
              <w:contextualSpacing/>
              <w:jc w:val="both"/>
              <w:rPr>
                <w:rFonts w:asciiTheme="minorHAnsi" w:eastAsia="Times" w:hAnsiTheme="minorHAnsi" w:cs="Arial"/>
                <w:sz w:val="20"/>
                <w:szCs w:val="20"/>
                <w:lang w:val="en-US"/>
              </w:rPr>
            </w:pPr>
            <w:r w:rsidRPr="00774AEC">
              <w:rPr>
                <w:rFonts w:asciiTheme="minorHAnsi" w:eastAsia="Times" w:hAnsiTheme="minorHAnsi" w:cs="Arial"/>
                <w:sz w:val="20"/>
                <w:szCs w:val="20"/>
                <w:lang w:val="en-US"/>
              </w:rPr>
              <w:t>Initial date of the marketing notification</w:t>
            </w:r>
          </w:p>
        </w:tc>
      </w:tr>
      <w:tr w:rsidR="00774AEC" w:rsidRPr="00774AEC" w:rsidTr="001B4C4E">
        <w:tc>
          <w:tcPr>
            <w:tcW w:w="703"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417"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56"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498"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703"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7"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79"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3"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3"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r>
      <w:tr w:rsidR="00774AEC" w:rsidRPr="00774AEC" w:rsidTr="001B4C4E">
        <w:tc>
          <w:tcPr>
            <w:tcW w:w="703"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417"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56"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498"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703"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7"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79"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3"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3"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r>
      <w:tr w:rsidR="00774AEC" w:rsidRPr="00774AEC" w:rsidTr="001B4C4E">
        <w:tc>
          <w:tcPr>
            <w:tcW w:w="703"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417"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56"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498"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703"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7"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79" w:type="pct"/>
            <w:shd w:val="clear" w:color="auto" w:fill="auto"/>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3"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c>
          <w:tcPr>
            <w:tcW w:w="513" w:type="pct"/>
          </w:tcPr>
          <w:p w:rsidR="00774AEC" w:rsidRPr="00774AEC" w:rsidRDefault="00774AEC" w:rsidP="00774AEC">
            <w:pPr>
              <w:spacing w:line="240" w:lineRule="atLeast"/>
              <w:contextualSpacing/>
              <w:jc w:val="both"/>
              <w:rPr>
                <w:rFonts w:ascii="Arial" w:eastAsia="Times" w:hAnsi="Arial" w:cs="Arial"/>
                <w:sz w:val="18"/>
                <w:szCs w:val="18"/>
                <w:highlight w:val="yellow"/>
              </w:rPr>
            </w:pPr>
          </w:p>
        </w:tc>
      </w:tr>
    </w:tbl>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7C52C2" w:rsidRPr="007C52C2" w:rsidRDefault="007C52C2" w:rsidP="007C52C2">
      <w:pPr>
        <w:rPr>
          <w:rFonts w:asciiTheme="minorHAnsi" w:hAnsiTheme="minorHAnsi"/>
          <w:sz w:val="20"/>
          <w:szCs w:val="20"/>
          <w:lang w:val="en-US"/>
        </w:rPr>
      </w:pPr>
      <w:r w:rsidRPr="007C52C2">
        <w:rPr>
          <w:rFonts w:asciiTheme="minorHAnsi" w:hAnsiTheme="minorHAnsi"/>
          <w:b/>
          <w:bCs/>
          <w:sz w:val="20"/>
          <w:szCs w:val="20"/>
          <w:lang w:val="en-US"/>
        </w:rPr>
        <w:t xml:space="preserve">Documentation and information to be provided for each AIF (it is reminded that any incomplete notification is inadmissible) </w:t>
      </w:r>
    </w:p>
    <w:p w:rsidR="007C52C2" w:rsidRPr="007C52C2" w:rsidRDefault="007C52C2" w:rsidP="007C52C2">
      <w:pPr>
        <w:rPr>
          <w:rFonts w:asciiTheme="minorHAnsi" w:hAnsiTheme="minorHAnsi"/>
          <w:sz w:val="20"/>
          <w:szCs w:val="20"/>
        </w:rPr>
      </w:pPr>
      <w:bookmarkStart w:id="0" w:name="_GoBack"/>
      <w:bookmarkEnd w:id="0"/>
    </w:p>
    <w:p w:rsidR="007C52C2" w:rsidRPr="007C52C2" w:rsidRDefault="007C52C2" w:rsidP="007C52C2">
      <w:pPr>
        <w:rPr>
          <w:rFonts w:asciiTheme="minorHAnsi" w:hAnsiTheme="minorHAnsi"/>
          <w:sz w:val="20"/>
          <w:szCs w:val="20"/>
        </w:rPr>
      </w:pPr>
      <w:r w:rsidRPr="007C52C2">
        <w:rPr>
          <w:rFonts w:asciiTheme="minorHAnsi" w:hAnsiTheme="minorHAnsi"/>
          <w:b/>
          <w:sz w:val="20"/>
          <w:szCs w:val="20"/>
        </w:rPr>
        <w:fldChar w:fldCharType="begin">
          <w:ffData>
            <w:name w:val="Check15"/>
            <w:enabled/>
            <w:calcOnExit w:val="0"/>
            <w:checkBox>
              <w:sizeAuto/>
              <w:default w:val="0"/>
            </w:checkBox>
          </w:ffData>
        </w:fldChar>
      </w:r>
      <w:r w:rsidRPr="007C52C2">
        <w:rPr>
          <w:rFonts w:asciiTheme="minorHAnsi" w:hAnsiTheme="minorHAnsi"/>
          <w:b/>
          <w:sz w:val="20"/>
          <w:szCs w:val="20"/>
        </w:rPr>
        <w:instrText xml:space="preserve"> FORMCHECKBOX </w:instrText>
      </w:r>
      <w:r w:rsidRPr="007C52C2">
        <w:rPr>
          <w:rFonts w:asciiTheme="minorHAnsi" w:hAnsiTheme="minorHAnsi"/>
          <w:b/>
          <w:sz w:val="20"/>
          <w:szCs w:val="20"/>
        </w:rPr>
      </w:r>
      <w:r w:rsidRPr="007C52C2">
        <w:rPr>
          <w:rFonts w:asciiTheme="minorHAnsi" w:hAnsiTheme="minorHAnsi"/>
          <w:sz w:val="20"/>
          <w:szCs w:val="20"/>
        </w:rPr>
        <w:fldChar w:fldCharType="end"/>
      </w:r>
      <w:r w:rsidRPr="007C52C2">
        <w:rPr>
          <w:rFonts w:asciiTheme="minorHAnsi" w:hAnsiTheme="minorHAnsi"/>
          <w:b/>
          <w:sz w:val="20"/>
          <w:szCs w:val="20"/>
        </w:rPr>
        <w:t xml:space="preserve"> </w:t>
      </w:r>
      <w:r w:rsidRPr="007C52C2">
        <w:rPr>
          <w:rFonts w:asciiTheme="minorHAnsi" w:hAnsiTheme="minorHAnsi"/>
          <w:sz w:val="20"/>
          <w:szCs w:val="20"/>
        </w:rPr>
        <w:t xml:space="preserve">Information </w:t>
      </w:r>
      <w:proofErr w:type="spellStart"/>
      <w:r w:rsidRPr="007C52C2">
        <w:rPr>
          <w:rFonts w:asciiTheme="minorHAnsi" w:hAnsiTheme="minorHAnsi"/>
          <w:sz w:val="20"/>
          <w:szCs w:val="20"/>
        </w:rPr>
        <w:t>addressed</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directly</w:t>
      </w:r>
      <w:proofErr w:type="spellEnd"/>
      <w:r w:rsidRPr="007C52C2">
        <w:rPr>
          <w:rFonts w:asciiTheme="minorHAnsi" w:hAnsiTheme="minorHAnsi"/>
          <w:sz w:val="20"/>
          <w:szCs w:val="20"/>
        </w:rPr>
        <w:t xml:space="preserve"> or </w:t>
      </w:r>
      <w:proofErr w:type="spellStart"/>
      <w:r w:rsidRPr="007C52C2">
        <w:rPr>
          <w:rFonts w:asciiTheme="minorHAnsi" w:hAnsiTheme="minorHAnsi"/>
          <w:sz w:val="20"/>
          <w:szCs w:val="20"/>
        </w:rPr>
        <w:t>through</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financial</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intermediaries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individually</w:t>
      </w:r>
      <w:proofErr w:type="spellEnd"/>
      <w:r w:rsidRPr="007C52C2">
        <w:rPr>
          <w:rFonts w:asciiTheme="minorHAnsi" w:hAnsiTheme="minorHAnsi"/>
          <w:sz w:val="20"/>
          <w:szCs w:val="20"/>
        </w:rPr>
        <w:t xml:space="preserve"> to all </w:t>
      </w:r>
      <w:proofErr w:type="spellStart"/>
      <w:r w:rsidRPr="007C52C2">
        <w:rPr>
          <w:rFonts w:asciiTheme="minorHAnsi" w:hAnsiTheme="minorHAnsi"/>
          <w:sz w:val="20"/>
          <w:szCs w:val="20"/>
        </w:rPr>
        <w:t>investors</w:t>
      </w:r>
      <w:proofErr w:type="spellEnd"/>
      <w:r w:rsidRPr="007C52C2">
        <w:rPr>
          <w:rFonts w:asciiTheme="minorHAnsi" w:hAnsiTheme="minorHAnsi"/>
          <w:sz w:val="20"/>
          <w:szCs w:val="20"/>
        </w:rPr>
        <w:t xml:space="preserve"> in </w:t>
      </w:r>
      <w:proofErr w:type="spellStart"/>
      <w:r w:rsidRPr="007C52C2">
        <w:rPr>
          <w:rFonts w:asciiTheme="minorHAnsi" w:hAnsiTheme="minorHAnsi"/>
          <w:sz w:val="20"/>
          <w:szCs w:val="20"/>
        </w:rPr>
        <w:t>that</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Member</w:t>
      </w:r>
      <w:proofErr w:type="spellEnd"/>
      <w:r w:rsidRPr="007C52C2">
        <w:rPr>
          <w:rFonts w:asciiTheme="minorHAnsi" w:hAnsiTheme="minorHAnsi"/>
          <w:sz w:val="20"/>
          <w:szCs w:val="20"/>
        </w:rPr>
        <w:t xml:space="preserve"> State </w:t>
      </w:r>
      <w:proofErr w:type="spellStart"/>
      <w:r w:rsidRPr="007C52C2">
        <w:rPr>
          <w:rFonts w:asciiTheme="minorHAnsi" w:hAnsiTheme="minorHAnsi"/>
          <w:sz w:val="20"/>
          <w:szCs w:val="20"/>
        </w:rPr>
        <w:t>whose</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identity</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known</w:t>
      </w:r>
      <w:proofErr w:type="spellEnd"/>
      <w:r w:rsidRPr="007C52C2">
        <w:rPr>
          <w:rFonts w:asciiTheme="minorHAnsi" w:hAnsiTheme="minorHAnsi"/>
          <w:sz w:val="20"/>
          <w:szCs w:val="20"/>
        </w:rPr>
        <w:t xml:space="preserve"> about the </w:t>
      </w:r>
      <w:proofErr w:type="spellStart"/>
      <w:r w:rsidRPr="007C52C2">
        <w:rPr>
          <w:rFonts w:asciiTheme="minorHAnsi" w:hAnsiTheme="minorHAnsi"/>
          <w:sz w:val="20"/>
          <w:szCs w:val="20"/>
        </w:rPr>
        <w:t>blanket</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offer</w:t>
      </w:r>
      <w:proofErr w:type="spellEnd"/>
      <w:r w:rsidRPr="007C52C2">
        <w:rPr>
          <w:rFonts w:asciiTheme="minorHAnsi" w:hAnsiTheme="minorHAnsi"/>
          <w:sz w:val="20"/>
          <w:szCs w:val="20"/>
        </w:rPr>
        <w:t xml:space="preserve"> made to </w:t>
      </w:r>
      <w:proofErr w:type="spellStart"/>
      <w:r w:rsidRPr="007C52C2">
        <w:rPr>
          <w:rFonts w:asciiTheme="minorHAnsi" w:hAnsiTheme="minorHAnsi"/>
          <w:sz w:val="20"/>
          <w:szCs w:val="20"/>
        </w:rPr>
        <w:t>repurchase</w:t>
      </w:r>
      <w:proofErr w:type="spellEnd"/>
      <w:r w:rsidRPr="007C52C2">
        <w:rPr>
          <w:rFonts w:asciiTheme="minorHAnsi" w:hAnsiTheme="minorHAnsi"/>
          <w:sz w:val="20"/>
          <w:szCs w:val="20"/>
        </w:rPr>
        <w:t xml:space="preserve"> or </w:t>
      </w:r>
      <w:proofErr w:type="spellStart"/>
      <w:r w:rsidRPr="007C52C2">
        <w:rPr>
          <w:rFonts w:asciiTheme="minorHAnsi" w:hAnsiTheme="minorHAnsi"/>
          <w:sz w:val="20"/>
          <w:szCs w:val="20"/>
        </w:rPr>
        <w:t>redeem</w:t>
      </w:r>
      <w:proofErr w:type="spellEnd"/>
      <w:r w:rsidRPr="007C52C2">
        <w:rPr>
          <w:rFonts w:asciiTheme="minorHAnsi" w:hAnsiTheme="minorHAnsi"/>
          <w:sz w:val="20"/>
          <w:szCs w:val="20"/>
        </w:rPr>
        <w:t xml:space="preserve">, free of </w:t>
      </w:r>
      <w:proofErr w:type="spellStart"/>
      <w:r w:rsidRPr="007C52C2">
        <w:rPr>
          <w:rFonts w:asciiTheme="minorHAnsi" w:hAnsiTheme="minorHAnsi"/>
          <w:sz w:val="20"/>
          <w:szCs w:val="20"/>
        </w:rPr>
        <w:t>any</w:t>
      </w:r>
      <w:proofErr w:type="spellEnd"/>
      <w:r w:rsidRPr="007C52C2">
        <w:rPr>
          <w:rFonts w:asciiTheme="minorHAnsi" w:hAnsiTheme="minorHAnsi"/>
          <w:sz w:val="20"/>
          <w:szCs w:val="20"/>
        </w:rPr>
        <w:t xml:space="preserve"> charges or </w:t>
      </w:r>
      <w:proofErr w:type="spellStart"/>
      <w:r w:rsidRPr="007C52C2">
        <w:rPr>
          <w:rFonts w:asciiTheme="minorHAnsi" w:hAnsiTheme="minorHAnsi"/>
          <w:sz w:val="20"/>
          <w:szCs w:val="20"/>
        </w:rPr>
        <w:t>deductions</w:t>
      </w:r>
      <w:proofErr w:type="spellEnd"/>
      <w:r w:rsidRPr="007C52C2">
        <w:rPr>
          <w:rFonts w:asciiTheme="minorHAnsi" w:hAnsiTheme="minorHAnsi"/>
          <w:sz w:val="20"/>
          <w:szCs w:val="20"/>
        </w:rPr>
        <w:t xml:space="preserve">, all </w:t>
      </w:r>
      <w:proofErr w:type="spellStart"/>
      <w:r w:rsidRPr="007C52C2">
        <w:rPr>
          <w:rFonts w:asciiTheme="minorHAnsi" w:hAnsiTheme="minorHAnsi"/>
          <w:sz w:val="20"/>
          <w:szCs w:val="20"/>
        </w:rPr>
        <w:t>such</w:t>
      </w:r>
      <w:proofErr w:type="spellEnd"/>
      <w:r w:rsidRPr="007C52C2">
        <w:rPr>
          <w:rFonts w:asciiTheme="minorHAnsi" w:hAnsiTheme="minorHAnsi"/>
          <w:sz w:val="20"/>
          <w:szCs w:val="20"/>
        </w:rPr>
        <w:t xml:space="preserve"> AIF </w:t>
      </w:r>
      <w:proofErr w:type="spellStart"/>
      <w:r w:rsidRPr="007C52C2">
        <w:rPr>
          <w:rFonts w:asciiTheme="minorHAnsi" w:hAnsiTheme="minorHAnsi"/>
          <w:sz w:val="20"/>
          <w:szCs w:val="20"/>
        </w:rPr>
        <w:t>units</w:t>
      </w:r>
      <w:proofErr w:type="spellEnd"/>
      <w:r w:rsidRPr="007C52C2">
        <w:rPr>
          <w:rFonts w:asciiTheme="minorHAnsi" w:hAnsiTheme="minorHAnsi"/>
          <w:sz w:val="20"/>
          <w:szCs w:val="20"/>
        </w:rPr>
        <w:t xml:space="preserve"> or </w:t>
      </w:r>
      <w:proofErr w:type="spellStart"/>
      <w:r w:rsidRPr="007C52C2">
        <w:rPr>
          <w:rFonts w:asciiTheme="minorHAnsi" w:hAnsiTheme="minorHAnsi"/>
          <w:sz w:val="20"/>
          <w:szCs w:val="20"/>
        </w:rPr>
        <w:t>shares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held</w:t>
      </w:r>
      <w:proofErr w:type="spellEnd"/>
      <w:r w:rsidRPr="007C52C2">
        <w:rPr>
          <w:rFonts w:asciiTheme="minorHAnsi" w:hAnsiTheme="minorHAnsi"/>
          <w:sz w:val="20"/>
          <w:szCs w:val="20"/>
        </w:rPr>
        <w:t xml:space="preserve"> by </w:t>
      </w:r>
      <w:proofErr w:type="spellStart"/>
      <w:r w:rsidRPr="007C52C2">
        <w:rPr>
          <w:rFonts w:asciiTheme="minorHAnsi" w:hAnsiTheme="minorHAnsi"/>
          <w:sz w:val="20"/>
          <w:szCs w:val="20"/>
        </w:rPr>
        <w:t>investors</w:t>
      </w:r>
      <w:proofErr w:type="spellEnd"/>
      <w:r w:rsidRPr="007C52C2">
        <w:rPr>
          <w:rFonts w:asciiTheme="minorHAnsi" w:hAnsiTheme="minorHAnsi"/>
          <w:sz w:val="20"/>
          <w:szCs w:val="20"/>
        </w:rPr>
        <w:t xml:space="preserve"> in </w:t>
      </w:r>
      <w:proofErr w:type="spellStart"/>
      <w:r w:rsidRPr="007C52C2">
        <w:rPr>
          <w:rFonts w:asciiTheme="minorHAnsi" w:hAnsiTheme="minorHAnsi"/>
          <w:sz w:val="20"/>
          <w:szCs w:val="20"/>
        </w:rPr>
        <w:t>that</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Member</w:t>
      </w:r>
      <w:proofErr w:type="spellEnd"/>
      <w:r w:rsidRPr="007C52C2">
        <w:rPr>
          <w:rFonts w:asciiTheme="minorHAnsi" w:hAnsiTheme="minorHAnsi"/>
          <w:sz w:val="20"/>
          <w:szCs w:val="20"/>
        </w:rPr>
        <w:t xml:space="preserve"> State </w:t>
      </w:r>
      <w:proofErr w:type="spellStart"/>
      <w:r w:rsidRPr="007C52C2">
        <w:rPr>
          <w:rFonts w:asciiTheme="minorHAnsi" w:hAnsiTheme="minorHAnsi"/>
          <w:sz w:val="20"/>
          <w:szCs w:val="20"/>
        </w:rPr>
        <w:t>which</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also</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publicly</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available</w:t>
      </w:r>
      <w:proofErr w:type="spellEnd"/>
      <w:r w:rsidRPr="007C52C2">
        <w:rPr>
          <w:rFonts w:asciiTheme="minorHAnsi" w:hAnsiTheme="minorHAnsi"/>
          <w:sz w:val="20"/>
          <w:szCs w:val="20"/>
        </w:rPr>
        <w:t xml:space="preserve"> for at least 30 </w:t>
      </w:r>
      <w:proofErr w:type="spellStart"/>
      <w:r w:rsidRPr="007C52C2">
        <w:rPr>
          <w:rFonts w:asciiTheme="minorHAnsi" w:hAnsiTheme="minorHAnsi"/>
          <w:sz w:val="20"/>
          <w:szCs w:val="20"/>
        </w:rPr>
        <w:t>working</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days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except</w:t>
      </w:r>
      <w:proofErr w:type="spellEnd"/>
      <w:r w:rsidRPr="007C52C2">
        <w:rPr>
          <w:rFonts w:asciiTheme="minorHAnsi" w:hAnsiTheme="minorHAnsi"/>
          <w:sz w:val="20"/>
          <w:szCs w:val="20"/>
        </w:rPr>
        <w:t xml:space="preserve"> in the case of </w:t>
      </w:r>
      <w:proofErr w:type="spellStart"/>
      <w:r w:rsidRPr="007C52C2">
        <w:rPr>
          <w:rFonts w:asciiTheme="minorHAnsi" w:hAnsiTheme="minorHAnsi"/>
          <w:sz w:val="20"/>
          <w:szCs w:val="20"/>
        </w:rPr>
        <w:t>closed-ended</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AIFs</w:t>
      </w:r>
      <w:proofErr w:type="spellEnd"/>
      <w:r w:rsidRPr="007C52C2">
        <w:rPr>
          <w:rFonts w:asciiTheme="minorHAnsi" w:hAnsiTheme="minorHAnsi"/>
          <w:sz w:val="20"/>
          <w:szCs w:val="20"/>
        </w:rPr>
        <w:t xml:space="preserve"> and </w:t>
      </w:r>
      <w:proofErr w:type="spellStart"/>
      <w:r w:rsidRPr="007C52C2">
        <w:rPr>
          <w:rFonts w:asciiTheme="minorHAnsi" w:hAnsiTheme="minorHAnsi"/>
          <w:sz w:val="20"/>
          <w:szCs w:val="20"/>
        </w:rPr>
        <w:t>funds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regulated</w:t>
      </w:r>
      <w:proofErr w:type="spellEnd"/>
      <w:r w:rsidRPr="007C52C2">
        <w:rPr>
          <w:rFonts w:asciiTheme="minorHAnsi" w:hAnsiTheme="minorHAnsi"/>
          <w:sz w:val="20"/>
          <w:szCs w:val="20"/>
        </w:rPr>
        <w:t xml:space="preserve"> by </w:t>
      </w:r>
      <w:proofErr w:type="spellStart"/>
      <w:r w:rsidRPr="007C52C2">
        <w:rPr>
          <w:rFonts w:asciiTheme="minorHAnsi" w:hAnsiTheme="minorHAnsi"/>
          <w:sz w:val="20"/>
          <w:szCs w:val="20"/>
        </w:rPr>
        <w:t>Regulation</w:t>
      </w:r>
      <w:proofErr w:type="spellEnd"/>
      <w:r w:rsidRPr="007C52C2">
        <w:rPr>
          <w:rFonts w:asciiTheme="minorHAnsi" w:hAnsiTheme="minorHAnsi"/>
          <w:sz w:val="20"/>
          <w:szCs w:val="20"/>
        </w:rPr>
        <w:t xml:space="preserve"> (EU)2015/760 of the </w:t>
      </w:r>
      <w:proofErr w:type="spellStart"/>
      <w:r w:rsidRPr="007C52C2">
        <w:rPr>
          <w:rFonts w:asciiTheme="minorHAnsi" w:hAnsiTheme="minorHAnsi"/>
          <w:sz w:val="20"/>
          <w:szCs w:val="20"/>
        </w:rPr>
        <w:t>European</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Parliament</w:t>
      </w:r>
      <w:proofErr w:type="spellEnd"/>
      <w:r w:rsidRPr="007C52C2">
        <w:rPr>
          <w:rFonts w:asciiTheme="minorHAnsi" w:hAnsiTheme="minorHAnsi"/>
          <w:sz w:val="20"/>
          <w:szCs w:val="20"/>
        </w:rPr>
        <w:t xml:space="preserve"> and of the Council.</w:t>
      </w:r>
    </w:p>
    <w:p w:rsidR="007C52C2" w:rsidRPr="007C52C2" w:rsidRDefault="007C52C2" w:rsidP="007C52C2">
      <w:pPr>
        <w:rPr>
          <w:rFonts w:asciiTheme="minorHAnsi" w:hAnsiTheme="minorHAnsi"/>
          <w:sz w:val="20"/>
          <w:szCs w:val="20"/>
        </w:rPr>
      </w:pPr>
      <w:r w:rsidRPr="007C52C2">
        <w:rPr>
          <w:rFonts w:asciiTheme="minorHAnsi" w:hAnsiTheme="minorHAnsi"/>
          <w:sz w:val="20"/>
          <w:szCs w:val="20"/>
        </w:rPr>
        <w:t xml:space="preserve"> </w:t>
      </w:r>
    </w:p>
    <w:p w:rsidR="007C52C2" w:rsidRPr="007C52C2" w:rsidRDefault="007C52C2" w:rsidP="007C52C2">
      <w:pPr>
        <w:rPr>
          <w:rFonts w:asciiTheme="minorHAnsi" w:hAnsiTheme="minorHAnsi"/>
          <w:sz w:val="20"/>
          <w:szCs w:val="20"/>
        </w:rPr>
      </w:pPr>
      <w:r w:rsidRPr="007C52C2">
        <w:rPr>
          <w:rFonts w:asciiTheme="minorHAnsi" w:hAnsiTheme="minorHAnsi"/>
          <w:b/>
          <w:sz w:val="20"/>
          <w:szCs w:val="20"/>
        </w:rPr>
        <w:fldChar w:fldCharType="begin">
          <w:ffData>
            <w:name w:val="Check15"/>
            <w:enabled/>
            <w:calcOnExit w:val="0"/>
            <w:checkBox>
              <w:sizeAuto/>
              <w:default w:val="0"/>
            </w:checkBox>
          </w:ffData>
        </w:fldChar>
      </w:r>
      <w:r w:rsidRPr="007C52C2">
        <w:rPr>
          <w:rFonts w:asciiTheme="minorHAnsi" w:hAnsiTheme="minorHAnsi"/>
          <w:b/>
          <w:sz w:val="20"/>
          <w:szCs w:val="20"/>
        </w:rPr>
        <w:instrText xml:space="preserve"> FORMCHECKBOX </w:instrText>
      </w:r>
      <w:r w:rsidRPr="007C52C2">
        <w:rPr>
          <w:rFonts w:asciiTheme="minorHAnsi" w:hAnsiTheme="minorHAnsi"/>
          <w:b/>
          <w:sz w:val="20"/>
          <w:szCs w:val="20"/>
        </w:rPr>
      </w:r>
      <w:r w:rsidRPr="007C52C2">
        <w:rPr>
          <w:rFonts w:asciiTheme="minorHAnsi" w:hAnsiTheme="minorHAnsi"/>
          <w:sz w:val="20"/>
          <w:szCs w:val="20"/>
        </w:rPr>
        <w:fldChar w:fldCharType="end"/>
      </w:r>
      <w:r w:rsidRPr="007C52C2">
        <w:rPr>
          <w:rFonts w:asciiTheme="minorHAnsi" w:hAnsiTheme="minorHAnsi"/>
          <w:b/>
          <w:sz w:val="20"/>
          <w:szCs w:val="20"/>
        </w:rPr>
        <w:t xml:space="preserve"> </w:t>
      </w:r>
      <w:r w:rsidRPr="007C52C2">
        <w:rPr>
          <w:rFonts w:asciiTheme="minorHAnsi" w:hAnsiTheme="minorHAnsi"/>
          <w:sz w:val="20"/>
          <w:szCs w:val="20"/>
        </w:rPr>
        <w:t xml:space="preserve">Information made public by </w:t>
      </w:r>
      <w:proofErr w:type="spellStart"/>
      <w:r w:rsidRPr="007C52C2">
        <w:rPr>
          <w:rFonts w:asciiTheme="minorHAnsi" w:hAnsiTheme="minorHAnsi"/>
          <w:sz w:val="20"/>
          <w:szCs w:val="20"/>
        </w:rPr>
        <w:t>means</w:t>
      </w:r>
      <w:proofErr w:type="spellEnd"/>
      <w:r w:rsidRPr="007C52C2">
        <w:rPr>
          <w:rFonts w:asciiTheme="minorHAnsi" w:hAnsiTheme="minorHAnsi"/>
          <w:sz w:val="20"/>
          <w:szCs w:val="20"/>
        </w:rPr>
        <w:t xml:space="preserve"> of a </w:t>
      </w:r>
      <w:proofErr w:type="spellStart"/>
      <w:r w:rsidRPr="007C52C2">
        <w:rPr>
          <w:rFonts w:asciiTheme="minorHAnsi" w:hAnsiTheme="minorHAnsi"/>
          <w:sz w:val="20"/>
          <w:szCs w:val="20"/>
        </w:rPr>
        <w:t>publicly</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available</w:t>
      </w:r>
      <w:proofErr w:type="spellEnd"/>
      <w:r w:rsidRPr="007C52C2">
        <w:rPr>
          <w:rFonts w:asciiTheme="minorHAnsi" w:hAnsiTheme="minorHAnsi"/>
          <w:sz w:val="20"/>
          <w:szCs w:val="20"/>
        </w:rPr>
        <w:t xml:space="preserve"> medium, </w:t>
      </w:r>
      <w:proofErr w:type="spellStart"/>
      <w:r w:rsidRPr="007C52C2">
        <w:rPr>
          <w:rFonts w:asciiTheme="minorHAnsi" w:hAnsiTheme="minorHAnsi"/>
          <w:sz w:val="20"/>
          <w:szCs w:val="20"/>
        </w:rPr>
        <w:t>including</w:t>
      </w:r>
      <w:proofErr w:type="spellEnd"/>
      <w:r w:rsidRPr="007C52C2">
        <w:rPr>
          <w:rFonts w:asciiTheme="minorHAnsi" w:hAnsiTheme="minorHAnsi"/>
          <w:sz w:val="20"/>
          <w:szCs w:val="20"/>
        </w:rPr>
        <w:t xml:space="preserve"> by </w:t>
      </w:r>
      <w:proofErr w:type="spellStart"/>
      <w:r w:rsidRPr="007C52C2">
        <w:rPr>
          <w:rFonts w:asciiTheme="minorHAnsi" w:hAnsiTheme="minorHAnsi"/>
          <w:sz w:val="20"/>
          <w:szCs w:val="20"/>
        </w:rPr>
        <w:t>electronic</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means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which</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customary</w:t>
      </w:r>
      <w:proofErr w:type="spellEnd"/>
      <w:r w:rsidRPr="007C52C2">
        <w:rPr>
          <w:rFonts w:asciiTheme="minorHAnsi" w:hAnsiTheme="minorHAnsi"/>
          <w:sz w:val="20"/>
          <w:szCs w:val="20"/>
        </w:rPr>
        <w:t xml:space="preserve"> for marketing </w:t>
      </w:r>
      <w:proofErr w:type="spellStart"/>
      <w:r w:rsidRPr="007C52C2">
        <w:rPr>
          <w:rFonts w:asciiTheme="minorHAnsi" w:hAnsiTheme="minorHAnsi"/>
          <w:sz w:val="20"/>
          <w:szCs w:val="20"/>
        </w:rPr>
        <w:t>AIFs</w:t>
      </w:r>
      <w:proofErr w:type="spellEnd"/>
      <w:r w:rsidRPr="007C52C2">
        <w:rPr>
          <w:rFonts w:asciiTheme="minorHAnsi" w:hAnsiTheme="minorHAnsi"/>
          <w:sz w:val="20"/>
          <w:szCs w:val="20"/>
        </w:rPr>
        <w:t xml:space="preserve"> and </w:t>
      </w:r>
      <w:proofErr w:type="spellStart"/>
      <w:r w:rsidRPr="007C52C2">
        <w:rPr>
          <w:rFonts w:asciiTheme="minorHAnsi" w:hAnsiTheme="minorHAnsi"/>
          <w:sz w:val="20"/>
          <w:szCs w:val="20"/>
        </w:rPr>
        <w:t>suitable</w:t>
      </w:r>
      <w:proofErr w:type="spellEnd"/>
      <w:r w:rsidRPr="007C52C2">
        <w:rPr>
          <w:rFonts w:asciiTheme="minorHAnsi" w:hAnsiTheme="minorHAnsi"/>
          <w:sz w:val="20"/>
          <w:szCs w:val="20"/>
        </w:rPr>
        <w:t xml:space="preserve"> for a </w:t>
      </w:r>
      <w:proofErr w:type="spellStart"/>
      <w:r w:rsidRPr="007C52C2">
        <w:rPr>
          <w:rFonts w:asciiTheme="minorHAnsi" w:hAnsiTheme="minorHAnsi"/>
          <w:sz w:val="20"/>
          <w:szCs w:val="20"/>
        </w:rPr>
        <w:t>typical</w:t>
      </w:r>
      <w:proofErr w:type="spellEnd"/>
      <w:r w:rsidRPr="007C52C2">
        <w:rPr>
          <w:rFonts w:asciiTheme="minorHAnsi" w:hAnsiTheme="minorHAnsi"/>
          <w:sz w:val="20"/>
          <w:szCs w:val="20"/>
        </w:rPr>
        <w:t xml:space="preserve"> AIF </w:t>
      </w:r>
      <w:proofErr w:type="spellStart"/>
      <w:r w:rsidRPr="007C52C2">
        <w:rPr>
          <w:rFonts w:asciiTheme="minorHAnsi" w:hAnsiTheme="minorHAnsi"/>
          <w:sz w:val="20"/>
          <w:szCs w:val="20"/>
        </w:rPr>
        <w:t>investor</w:t>
      </w:r>
      <w:proofErr w:type="spellEnd"/>
      <w:r w:rsidRPr="007C52C2">
        <w:rPr>
          <w:rFonts w:asciiTheme="minorHAnsi" w:hAnsiTheme="minorHAnsi"/>
          <w:sz w:val="20"/>
          <w:szCs w:val="20"/>
        </w:rPr>
        <w:t xml:space="preserve"> about </w:t>
      </w:r>
      <w:proofErr w:type="spellStart"/>
      <w:r w:rsidRPr="007C52C2">
        <w:rPr>
          <w:rFonts w:asciiTheme="minorHAnsi" w:hAnsiTheme="minorHAnsi"/>
          <w:sz w:val="20"/>
          <w:szCs w:val="20"/>
        </w:rPr>
        <w:t>thenintention</w:t>
      </w:r>
      <w:proofErr w:type="spellEnd"/>
      <w:r w:rsidRPr="007C52C2">
        <w:rPr>
          <w:rFonts w:asciiTheme="minorHAnsi" w:hAnsiTheme="minorHAnsi"/>
          <w:sz w:val="20"/>
          <w:szCs w:val="20"/>
        </w:rPr>
        <w:t xml:space="preserve"> to </w:t>
      </w:r>
      <w:proofErr w:type="spellStart"/>
      <w:r w:rsidRPr="007C52C2">
        <w:rPr>
          <w:rFonts w:asciiTheme="minorHAnsi" w:hAnsiTheme="minorHAnsi"/>
          <w:sz w:val="20"/>
          <w:szCs w:val="20"/>
        </w:rPr>
        <w:t>terminate</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arrangementsnmade</w:t>
      </w:r>
      <w:proofErr w:type="spellEnd"/>
      <w:r w:rsidRPr="007C52C2">
        <w:rPr>
          <w:rFonts w:asciiTheme="minorHAnsi" w:hAnsiTheme="minorHAnsi"/>
          <w:sz w:val="20"/>
          <w:szCs w:val="20"/>
        </w:rPr>
        <w:t xml:space="preserve"> for marketing </w:t>
      </w:r>
      <w:proofErr w:type="spellStart"/>
      <w:r w:rsidRPr="007C52C2">
        <w:rPr>
          <w:rFonts w:asciiTheme="minorHAnsi" w:hAnsiTheme="minorHAnsi"/>
          <w:sz w:val="20"/>
          <w:szCs w:val="20"/>
        </w:rPr>
        <w:t>units</w:t>
      </w:r>
      <w:proofErr w:type="spellEnd"/>
      <w:r w:rsidRPr="007C52C2">
        <w:rPr>
          <w:rFonts w:asciiTheme="minorHAnsi" w:hAnsiTheme="minorHAnsi"/>
          <w:sz w:val="20"/>
          <w:szCs w:val="20"/>
        </w:rPr>
        <w:t xml:space="preserve"> or </w:t>
      </w:r>
      <w:proofErr w:type="spellStart"/>
      <w:r w:rsidRPr="007C52C2">
        <w:rPr>
          <w:rFonts w:asciiTheme="minorHAnsi" w:hAnsiTheme="minorHAnsi"/>
          <w:sz w:val="20"/>
          <w:szCs w:val="20"/>
        </w:rPr>
        <w:t>shares</w:t>
      </w:r>
      <w:proofErr w:type="spellEnd"/>
      <w:r w:rsidRPr="007C52C2">
        <w:rPr>
          <w:rFonts w:asciiTheme="minorHAnsi" w:hAnsiTheme="minorHAnsi"/>
          <w:sz w:val="20"/>
          <w:szCs w:val="20"/>
        </w:rPr>
        <w:t xml:space="preserve"> of </w:t>
      </w:r>
      <w:proofErr w:type="spellStart"/>
      <w:r w:rsidRPr="007C52C2">
        <w:rPr>
          <w:rFonts w:asciiTheme="minorHAnsi" w:hAnsiTheme="minorHAnsi"/>
          <w:sz w:val="20"/>
          <w:szCs w:val="20"/>
        </w:rPr>
        <w:t>some</w:t>
      </w:r>
      <w:proofErr w:type="spellEnd"/>
      <w:r w:rsidRPr="007C52C2">
        <w:rPr>
          <w:rFonts w:asciiTheme="minorHAnsi" w:hAnsiTheme="minorHAnsi"/>
          <w:sz w:val="20"/>
          <w:szCs w:val="20"/>
        </w:rPr>
        <w:t xml:space="preserve"> or all of </w:t>
      </w:r>
      <w:proofErr w:type="spellStart"/>
      <w:r w:rsidRPr="007C52C2">
        <w:rPr>
          <w:rFonts w:asciiTheme="minorHAnsi" w:hAnsiTheme="minorHAnsi"/>
          <w:sz w:val="20"/>
          <w:szCs w:val="20"/>
        </w:rPr>
        <w:t>its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AIFs</w:t>
      </w:r>
      <w:proofErr w:type="spellEnd"/>
      <w:r w:rsidRPr="007C52C2">
        <w:rPr>
          <w:rFonts w:asciiTheme="minorHAnsi" w:hAnsiTheme="minorHAnsi"/>
          <w:sz w:val="20"/>
          <w:szCs w:val="20"/>
        </w:rPr>
        <w:t xml:space="preserve"> in </w:t>
      </w:r>
      <w:proofErr w:type="spellStart"/>
      <w:r w:rsidRPr="007C52C2">
        <w:rPr>
          <w:rFonts w:asciiTheme="minorHAnsi" w:hAnsiTheme="minorHAnsi"/>
          <w:sz w:val="20"/>
          <w:szCs w:val="20"/>
        </w:rPr>
        <w:t>that</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Member</w:t>
      </w:r>
      <w:proofErr w:type="spellEnd"/>
      <w:r w:rsidRPr="007C52C2">
        <w:rPr>
          <w:rFonts w:asciiTheme="minorHAnsi" w:hAnsiTheme="minorHAnsi"/>
          <w:sz w:val="20"/>
          <w:szCs w:val="20"/>
        </w:rPr>
        <w:t>.</w:t>
      </w:r>
    </w:p>
    <w:p w:rsidR="007C52C2" w:rsidRPr="007C52C2" w:rsidRDefault="007C52C2" w:rsidP="007C52C2">
      <w:pPr>
        <w:rPr>
          <w:rFonts w:asciiTheme="minorHAnsi" w:hAnsiTheme="minorHAnsi"/>
          <w:sz w:val="20"/>
          <w:szCs w:val="20"/>
        </w:rPr>
      </w:pPr>
    </w:p>
    <w:p w:rsidR="00922AD8" w:rsidRPr="00864F12" w:rsidRDefault="007C52C2" w:rsidP="007C52C2">
      <w:pPr>
        <w:rPr>
          <w:rFonts w:asciiTheme="minorHAnsi" w:hAnsiTheme="minorHAnsi"/>
          <w:sz w:val="20"/>
          <w:szCs w:val="20"/>
        </w:rPr>
      </w:pPr>
      <w:r w:rsidRPr="007C52C2">
        <w:rPr>
          <w:rFonts w:asciiTheme="minorHAnsi" w:hAnsiTheme="minorHAnsi"/>
          <w:b/>
          <w:sz w:val="20"/>
          <w:szCs w:val="20"/>
        </w:rPr>
        <w:fldChar w:fldCharType="begin">
          <w:ffData>
            <w:name w:val="Check15"/>
            <w:enabled/>
            <w:calcOnExit w:val="0"/>
            <w:checkBox>
              <w:sizeAuto/>
              <w:default w:val="0"/>
            </w:checkBox>
          </w:ffData>
        </w:fldChar>
      </w:r>
      <w:r w:rsidRPr="007C52C2">
        <w:rPr>
          <w:rFonts w:asciiTheme="minorHAnsi" w:hAnsiTheme="minorHAnsi"/>
          <w:b/>
          <w:sz w:val="20"/>
          <w:szCs w:val="20"/>
        </w:rPr>
        <w:instrText xml:space="preserve"> FORMCHECKBOX </w:instrText>
      </w:r>
      <w:r w:rsidRPr="007C52C2">
        <w:rPr>
          <w:rFonts w:asciiTheme="minorHAnsi" w:hAnsiTheme="minorHAnsi"/>
          <w:b/>
          <w:sz w:val="20"/>
          <w:szCs w:val="20"/>
        </w:rPr>
      </w:r>
      <w:r w:rsidRPr="007C52C2">
        <w:rPr>
          <w:rFonts w:asciiTheme="minorHAnsi" w:hAnsiTheme="minorHAnsi"/>
          <w:sz w:val="20"/>
          <w:szCs w:val="20"/>
        </w:rPr>
        <w:fldChar w:fldCharType="end"/>
      </w:r>
      <w:r w:rsidRPr="007C52C2">
        <w:rPr>
          <w:rFonts w:asciiTheme="minorHAnsi" w:hAnsiTheme="minorHAnsi"/>
          <w:b/>
          <w:sz w:val="20"/>
          <w:szCs w:val="20"/>
        </w:rPr>
        <w:t xml:space="preserve"> </w:t>
      </w:r>
      <w:proofErr w:type="spellStart"/>
      <w:r w:rsidRPr="007C52C2">
        <w:rPr>
          <w:rFonts w:asciiTheme="minorHAnsi" w:hAnsiTheme="minorHAnsi"/>
          <w:sz w:val="20"/>
          <w:szCs w:val="20"/>
        </w:rPr>
        <w:t>Certificate</w:t>
      </w:r>
      <w:proofErr w:type="spellEnd"/>
      <w:r w:rsidRPr="007C52C2">
        <w:rPr>
          <w:rFonts w:asciiTheme="minorHAnsi" w:hAnsiTheme="minorHAnsi"/>
          <w:sz w:val="20"/>
          <w:szCs w:val="20"/>
        </w:rPr>
        <w:t xml:space="preserve"> of the modification or the </w:t>
      </w:r>
      <w:proofErr w:type="spellStart"/>
      <w:r w:rsidRPr="007C52C2">
        <w:rPr>
          <w:rFonts w:asciiTheme="minorHAnsi" w:hAnsiTheme="minorHAnsi"/>
          <w:sz w:val="20"/>
          <w:szCs w:val="20"/>
        </w:rPr>
        <w:t>termination</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with</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effect</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from</w:t>
      </w:r>
      <w:proofErr w:type="spellEnd"/>
      <w:r w:rsidRPr="007C52C2">
        <w:rPr>
          <w:rFonts w:asciiTheme="minorHAnsi" w:hAnsiTheme="minorHAnsi"/>
          <w:sz w:val="20"/>
          <w:szCs w:val="20"/>
        </w:rPr>
        <w:t xml:space="preserve"> the date of de-notification of </w:t>
      </w:r>
      <w:proofErr w:type="spellStart"/>
      <w:r w:rsidRPr="007C52C2">
        <w:rPr>
          <w:rFonts w:asciiTheme="minorHAnsi" w:hAnsiTheme="minorHAnsi"/>
          <w:sz w:val="20"/>
          <w:szCs w:val="20"/>
        </w:rPr>
        <w:t>any</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contractual</w:t>
      </w:r>
      <w:proofErr w:type="spellEnd"/>
      <w:r w:rsidRPr="007C52C2">
        <w:rPr>
          <w:rFonts w:asciiTheme="minorHAnsi" w:hAnsiTheme="minorHAnsi"/>
          <w:sz w:val="20"/>
          <w:szCs w:val="20"/>
        </w:rPr>
        <w:t xml:space="preserve"> arrangements </w:t>
      </w:r>
      <w:proofErr w:type="spellStart"/>
      <w:r w:rsidRPr="007C52C2">
        <w:rPr>
          <w:rFonts w:asciiTheme="minorHAnsi" w:hAnsiTheme="minorHAnsi"/>
          <w:sz w:val="20"/>
          <w:szCs w:val="20"/>
        </w:rPr>
        <w:t>with</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financial</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intermediaries</w:t>
      </w:r>
      <w:proofErr w:type="spellEnd"/>
      <w:r w:rsidRPr="007C52C2">
        <w:rPr>
          <w:rFonts w:asciiTheme="minorHAnsi" w:hAnsiTheme="minorHAnsi"/>
          <w:sz w:val="20"/>
          <w:szCs w:val="20"/>
        </w:rPr>
        <w:t xml:space="preserve"> or </w:t>
      </w:r>
      <w:proofErr w:type="spellStart"/>
      <w:r w:rsidRPr="007C52C2">
        <w:rPr>
          <w:rFonts w:asciiTheme="minorHAnsi" w:hAnsiTheme="minorHAnsi"/>
          <w:sz w:val="20"/>
          <w:szCs w:val="20"/>
        </w:rPr>
        <w:t>delegates</w:t>
      </w:r>
      <w:proofErr w:type="spellEnd"/>
      <w:r w:rsidRPr="007C52C2">
        <w:rPr>
          <w:rFonts w:asciiTheme="minorHAnsi" w:hAnsiTheme="minorHAnsi"/>
          <w:sz w:val="20"/>
          <w:szCs w:val="20"/>
        </w:rPr>
        <w:t xml:space="preserve"> in </w:t>
      </w:r>
      <w:proofErr w:type="spellStart"/>
      <w:r w:rsidRPr="007C52C2">
        <w:rPr>
          <w:rFonts w:asciiTheme="minorHAnsi" w:hAnsiTheme="minorHAnsi"/>
          <w:sz w:val="20"/>
          <w:szCs w:val="20"/>
        </w:rPr>
        <w:t>order</w:t>
      </w:r>
      <w:proofErr w:type="spellEnd"/>
      <w:r w:rsidRPr="007C52C2">
        <w:rPr>
          <w:rFonts w:asciiTheme="minorHAnsi" w:hAnsiTheme="minorHAnsi"/>
          <w:sz w:val="20"/>
          <w:szCs w:val="20"/>
        </w:rPr>
        <w:t xml:space="preserve"> to </w:t>
      </w:r>
      <w:proofErr w:type="spellStart"/>
      <w:r w:rsidRPr="007C52C2">
        <w:rPr>
          <w:rFonts w:asciiTheme="minorHAnsi" w:hAnsiTheme="minorHAnsi"/>
          <w:sz w:val="20"/>
          <w:szCs w:val="20"/>
        </w:rPr>
        <w:t>prevent</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any</w:t>
      </w:r>
      <w:proofErr w:type="spellEnd"/>
      <w:r w:rsidRPr="007C52C2">
        <w:rPr>
          <w:rFonts w:asciiTheme="minorHAnsi" w:hAnsiTheme="minorHAnsi"/>
          <w:sz w:val="20"/>
          <w:szCs w:val="20"/>
        </w:rPr>
        <w:t xml:space="preserve"> new or </w:t>
      </w:r>
      <w:proofErr w:type="spellStart"/>
      <w:r w:rsidRPr="007C52C2">
        <w:rPr>
          <w:rFonts w:asciiTheme="minorHAnsi" w:hAnsiTheme="minorHAnsi"/>
          <w:sz w:val="20"/>
          <w:szCs w:val="20"/>
        </w:rPr>
        <w:t>further</w:t>
      </w:r>
      <w:proofErr w:type="spellEnd"/>
      <w:r w:rsidRPr="007C52C2">
        <w:rPr>
          <w:rFonts w:asciiTheme="minorHAnsi" w:hAnsiTheme="minorHAnsi"/>
          <w:sz w:val="20"/>
          <w:szCs w:val="20"/>
        </w:rPr>
        <w:t xml:space="preserve">, direct </w:t>
      </w:r>
      <w:proofErr w:type="spellStart"/>
      <w:r w:rsidRPr="007C52C2">
        <w:rPr>
          <w:rFonts w:asciiTheme="minorHAnsi" w:hAnsiTheme="minorHAnsi"/>
          <w:sz w:val="20"/>
          <w:szCs w:val="20"/>
        </w:rPr>
        <w:t>or</w:t>
      </w:r>
      <w:proofErr w:type="spellEnd"/>
      <w:r w:rsidRPr="007C52C2">
        <w:rPr>
          <w:rFonts w:asciiTheme="minorHAnsi" w:hAnsiTheme="minorHAnsi"/>
          <w:sz w:val="20"/>
          <w:szCs w:val="20"/>
        </w:rPr>
        <w:t xml:space="preserve"> indirect, </w:t>
      </w:r>
      <w:proofErr w:type="spellStart"/>
      <w:r w:rsidRPr="007C52C2">
        <w:rPr>
          <w:rFonts w:asciiTheme="minorHAnsi" w:hAnsiTheme="minorHAnsi"/>
          <w:sz w:val="20"/>
          <w:szCs w:val="20"/>
        </w:rPr>
        <w:t>offering</w:t>
      </w:r>
      <w:proofErr w:type="spellEnd"/>
      <w:r w:rsidRPr="007C52C2">
        <w:rPr>
          <w:rFonts w:asciiTheme="minorHAnsi" w:hAnsiTheme="minorHAnsi"/>
          <w:sz w:val="20"/>
          <w:szCs w:val="20"/>
        </w:rPr>
        <w:t xml:space="preserve"> or placement of the </w:t>
      </w:r>
      <w:proofErr w:type="spellStart"/>
      <w:r w:rsidRPr="007C52C2">
        <w:rPr>
          <w:rFonts w:asciiTheme="minorHAnsi" w:hAnsiTheme="minorHAnsi"/>
          <w:sz w:val="20"/>
          <w:szCs w:val="20"/>
        </w:rPr>
        <w:t>AIFs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units</w:t>
      </w:r>
      <w:proofErr w:type="spellEnd"/>
      <w:r w:rsidRPr="007C52C2">
        <w:rPr>
          <w:rFonts w:asciiTheme="minorHAnsi" w:hAnsiTheme="minorHAnsi"/>
          <w:sz w:val="20"/>
          <w:szCs w:val="20"/>
        </w:rPr>
        <w:t xml:space="preserve"> or </w:t>
      </w:r>
      <w:proofErr w:type="spellStart"/>
      <w:r w:rsidRPr="007C52C2">
        <w:rPr>
          <w:rFonts w:asciiTheme="minorHAnsi" w:hAnsiTheme="minorHAnsi"/>
          <w:sz w:val="20"/>
          <w:szCs w:val="20"/>
        </w:rPr>
        <w:t>shares</w:t>
      </w:r>
      <w:proofErr w:type="spellEnd"/>
      <w:r w:rsidRPr="007C52C2">
        <w:rPr>
          <w:rFonts w:asciiTheme="minorHAnsi" w:hAnsiTheme="minorHAnsi"/>
          <w:sz w:val="20"/>
          <w:szCs w:val="20"/>
        </w:rPr>
        <w:t xml:space="preserve"> </w:t>
      </w:r>
      <w:proofErr w:type="spellStart"/>
      <w:r w:rsidRPr="007C52C2">
        <w:rPr>
          <w:rFonts w:asciiTheme="minorHAnsi" w:hAnsiTheme="minorHAnsi"/>
          <w:sz w:val="20"/>
          <w:szCs w:val="20"/>
        </w:rPr>
        <w:t>identified</w:t>
      </w:r>
      <w:proofErr w:type="spellEnd"/>
      <w:r w:rsidRPr="007C52C2">
        <w:rPr>
          <w:rFonts w:asciiTheme="minorHAnsi" w:hAnsiTheme="minorHAnsi"/>
          <w:sz w:val="20"/>
          <w:szCs w:val="20"/>
        </w:rPr>
        <w:t xml:space="preserve"> in the notification </w:t>
      </w:r>
      <w:proofErr w:type="spellStart"/>
      <w:r w:rsidRPr="007C52C2">
        <w:rPr>
          <w:rFonts w:asciiTheme="minorHAnsi" w:hAnsiTheme="minorHAnsi"/>
          <w:sz w:val="20"/>
          <w:szCs w:val="20"/>
        </w:rPr>
        <w:t>referred</w:t>
      </w:r>
      <w:proofErr w:type="spellEnd"/>
      <w:r w:rsidRPr="007C52C2">
        <w:rPr>
          <w:rFonts w:asciiTheme="minorHAnsi" w:hAnsiTheme="minorHAnsi"/>
          <w:sz w:val="20"/>
          <w:szCs w:val="20"/>
        </w:rPr>
        <w:t xml:space="preserve"> to </w:t>
      </w:r>
      <w:proofErr w:type="spellStart"/>
      <w:r w:rsidRPr="007C52C2">
        <w:rPr>
          <w:rFonts w:asciiTheme="minorHAnsi" w:hAnsiTheme="minorHAnsi"/>
          <w:sz w:val="20"/>
          <w:szCs w:val="20"/>
        </w:rPr>
        <w:t>herein</w:t>
      </w:r>
      <w:proofErr w:type="spellEnd"/>
      <w:r w:rsidRPr="007C52C2">
        <w:rPr>
          <w:rFonts w:asciiTheme="minorHAnsi" w:hAnsiTheme="minorHAnsi"/>
          <w:sz w:val="20"/>
          <w:szCs w:val="20"/>
        </w:rPr>
        <w:t>.</w:t>
      </w: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Pr="00864F12" w:rsidRDefault="00922AD8" w:rsidP="005C6282">
      <w:pPr>
        <w:rPr>
          <w:rFonts w:asciiTheme="minorHAnsi" w:hAnsiTheme="minorHAnsi"/>
          <w:sz w:val="20"/>
          <w:szCs w:val="20"/>
        </w:rPr>
      </w:pPr>
    </w:p>
    <w:p w:rsidR="00922AD8" w:rsidRDefault="00922AD8" w:rsidP="005C6282"/>
    <w:sectPr w:rsidR="00922AD8"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11" w:rsidRDefault="00A27311">
      <w:r>
        <w:separator/>
      </w:r>
    </w:p>
  </w:endnote>
  <w:endnote w:type="continuationSeparator" w:id="0">
    <w:p w:rsidR="00A27311" w:rsidRDefault="00A2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53397"/>
      <w:docPartObj>
        <w:docPartGallery w:val="Page Numbers (Bottom of Page)"/>
        <w:docPartUnique/>
      </w:docPartObj>
    </w:sdtPr>
    <w:sdtContent>
      <w:p w:rsidR="007C52C2" w:rsidRDefault="007C52C2">
        <w:pPr>
          <w:pStyle w:val="Pieddepage"/>
          <w:jc w:val="right"/>
        </w:pPr>
        <w:r w:rsidRPr="007C52C2">
          <w:rPr>
            <w:rFonts w:asciiTheme="minorHAnsi" w:hAnsiTheme="minorHAnsi"/>
            <w:sz w:val="16"/>
            <w:szCs w:val="16"/>
          </w:rPr>
          <w:fldChar w:fldCharType="begin"/>
        </w:r>
        <w:r w:rsidRPr="007C52C2">
          <w:rPr>
            <w:rFonts w:asciiTheme="minorHAnsi" w:hAnsiTheme="minorHAnsi"/>
            <w:sz w:val="16"/>
            <w:szCs w:val="16"/>
          </w:rPr>
          <w:instrText>PAGE   \* MERGEFORMAT</w:instrText>
        </w:r>
        <w:r w:rsidRPr="007C52C2">
          <w:rPr>
            <w:rFonts w:asciiTheme="minorHAnsi" w:hAnsiTheme="minorHAnsi"/>
            <w:sz w:val="16"/>
            <w:szCs w:val="16"/>
          </w:rPr>
          <w:fldChar w:fldCharType="separate"/>
        </w:r>
        <w:r w:rsidR="0060040E">
          <w:rPr>
            <w:rFonts w:asciiTheme="minorHAnsi" w:hAnsiTheme="minorHAnsi"/>
            <w:noProof/>
            <w:sz w:val="16"/>
            <w:szCs w:val="16"/>
          </w:rPr>
          <w:t>2</w:t>
        </w:r>
        <w:r w:rsidRPr="007C52C2">
          <w:rPr>
            <w:rFonts w:asciiTheme="minorHAnsi" w:hAnsiTheme="minorHAnsi"/>
            <w:sz w:val="16"/>
            <w:szCs w:val="16"/>
          </w:rPr>
          <w:fldChar w:fldCharType="end"/>
        </w:r>
        <w:r>
          <w:rPr>
            <w:rFonts w:asciiTheme="minorHAnsi" w:hAnsiTheme="minorHAnsi"/>
            <w:sz w:val="16"/>
            <w:szCs w:val="16"/>
          </w:rPr>
          <w:t>/2</w:t>
        </w:r>
      </w:p>
    </w:sdtContent>
  </w:sdt>
  <w:p w:rsidR="007C52C2" w:rsidRDefault="007C52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39558"/>
      <w:docPartObj>
        <w:docPartGallery w:val="Page Numbers (Bottom of Page)"/>
        <w:docPartUnique/>
      </w:docPartObj>
    </w:sdtPr>
    <w:sdtContent>
      <w:p w:rsidR="007C52C2" w:rsidRDefault="007C52C2">
        <w:pPr>
          <w:pStyle w:val="Pieddepage"/>
          <w:jc w:val="right"/>
        </w:pPr>
        <w:r w:rsidRPr="007C52C2">
          <w:rPr>
            <w:rFonts w:asciiTheme="minorHAnsi" w:hAnsiTheme="minorHAnsi"/>
            <w:sz w:val="16"/>
            <w:szCs w:val="16"/>
          </w:rPr>
          <w:fldChar w:fldCharType="begin"/>
        </w:r>
        <w:r w:rsidRPr="007C52C2">
          <w:rPr>
            <w:rFonts w:asciiTheme="minorHAnsi" w:hAnsiTheme="minorHAnsi"/>
            <w:sz w:val="16"/>
            <w:szCs w:val="16"/>
          </w:rPr>
          <w:instrText>PAGE   \* MERGEFORMAT</w:instrText>
        </w:r>
        <w:r w:rsidRPr="007C52C2">
          <w:rPr>
            <w:rFonts w:asciiTheme="minorHAnsi" w:hAnsiTheme="minorHAnsi"/>
            <w:sz w:val="16"/>
            <w:szCs w:val="16"/>
          </w:rPr>
          <w:fldChar w:fldCharType="separate"/>
        </w:r>
        <w:r w:rsidR="0060040E">
          <w:rPr>
            <w:rFonts w:asciiTheme="minorHAnsi" w:hAnsiTheme="minorHAnsi"/>
            <w:noProof/>
            <w:sz w:val="16"/>
            <w:szCs w:val="16"/>
          </w:rPr>
          <w:t>1</w:t>
        </w:r>
        <w:r w:rsidRPr="007C52C2">
          <w:rPr>
            <w:rFonts w:asciiTheme="minorHAnsi" w:hAnsiTheme="minorHAnsi"/>
            <w:sz w:val="16"/>
            <w:szCs w:val="16"/>
          </w:rPr>
          <w:fldChar w:fldCharType="end"/>
        </w:r>
        <w:r>
          <w:rPr>
            <w:rFonts w:asciiTheme="minorHAnsi" w:hAnsiTheme="minorHAnsi"/>
            <w:sz w:val="16"/>
            <w:szCs w:val="16"/>
          </w:rPr>
          <w:t>/2</w:t>
        </w:r>
      </w:p>
    </w:sdtContent>
  </w:sdt>
  <w:p w:rsidR="007C52C2" w:rsidRDefault="007C52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11" w:rsidRDefault="00A27311">
      <w:r>
        <w:separator/>
      </w:r>
    </w:p>
  </w:footnote>
  <w:footnote w:type="continuationSeparator" w:id="0">
    <w:p w:rsidR="00A27311" w:rsidRDefault="00A27311">
      <w:r>
        <w:continuationSeparator/>
      </w:r>
    </w:p>
  </w:footnote>
  <w:footnote w:id="1">
    <w:p w:rsidR="00D559E3" w:rsidRPr="00D559E3" w:rsidRDefault="00D559E3" w:rsidP="00D559E3">
      <w:pPr>
        <w:jc w:val="both"/>
        <w:rPr>
          <w:rFonts w:asciiTheme="minorHAnsi" w:hAnsiTheme="minorHAnsi" w:cstheme="minorHAnsi"/>
          <w:i/>
          <w:sz w:val="16"/>
          <w:szCs w:val="16"/>
        </w:rPr>
      </w:pPr>
      <w:r w:rsidRPr="00D559E3">
        <w:rPr>
          <w:rFonts w:asciiTheme="minorHAnsi" w:hAnsiTheme="minorHAnsi" w:cstheme="minorHAnsi"/>
          <w:i/>
          <w:sz w:val="16"/>
          <w:szCs w:val="16"/>
          <w:vertAlign w:val="superscript"/>
        </w:rPr>
        <w:footnoteRef/>
      </w:r>
      <w:r w:rsidRPr="00D559E3">
        <w:rPr>
          <w:rFonts w:asciiTheme="minorHAnsi" w:hAnsiTheme="minorHAnsi" w:cstheme="minorHAnsi"/>
          <w:i/>
          <w:sz w:val="16"/>
          <w:szCs w:val="16"/>
        </w:rPr>
        <w:t xml:space="preserve"> Effective date of the modification or the </w:t>
      </w:r>
      <w:proofErr w:type="spellStart"/>
      <w:r w:rsidRPr="00D559E3">
        <w:rPr>
          <w:rFonts w:asciiTheme="minorHAnsi" w:hAnsiTheme="minorHAnsi" w:cstheme="minorHAnsi"/>
          <w:i/>
          <w:sz w:val="16"/>
          <w:szCs w:val="16"/>
        </w:rPr>
        <w:t>termination</w:t>
      </w:r>
      <w:proofErr w:type="spellEnd"/>
      <w:r w:rsidRPr="00D559E3">
        <w:rPr>
          <w:rFonts w:asciiTheme="minorHAnsi" w:hAnsiTheme="minorHAnsi" w:cstheme="minorHAnsi"/>
          <w:i/>
          <w:sz w:val="16"/>
          <w:szCs w:val="16"/>
        </w:rPr>
        <w:t xml:space="preserve"> of </w:t>
      </w:r>
      <w:proofErr w:type="spellStart"/>
      <w:r w:rsidRPr="00D559E3">
        <w:rPr>
          <w:rFonts w:asciiTheme="minorHAnsi" w:hAnsiTheme="minorHAnsi" w:cstheme="minorHAnsi"/>
          <w:i/>
          <w:sz w:val="16"/>
          <w:szCs w:val="16"/>
        </w:rPr>
        <w:t>any</w:t>
      </w:r>
      <w:proofErr w:type="spellEnd"/>
      <w:r w:rsidRPr="00D559E3">
        <w:rPr>
          <w:rFonts w:asciiTheme="minorHAnsi" w:hAnsiTheme="minorHAnsi" w:cstheme="minorHAnsi"/>
          <w:i/>
          <w:sz w:val="16"/>
          <w:szCs w:val="16"/>
        </w:rPr>
        <w:t xml:space="preserve"> </w:t>
      </w:r>
      <w:proofErr w:type="spellStart"/>
      <w:r w:rsidRPr="00D559E3">
        <w:rPr>
          <w:rFonts w:asciiTheme="minorHAnsi" w:hAnsiTheme="minorHAnsi" w:cstheme="minorHAnsi"/>
          <w:i/>
          <w:sz w:val="16"/>
          <w:szCs w:val="16"/>
        </w:rPr>
        <w:t>contractual</w:t>
      </w:r>
      <w:proofErr w:type="spellEnd"/>
      <w:r w:rsidRPr="00D559E3">
        <w:rPr>
          <w:rFonts w:asciiTheme="minorHAnsi" w:hAnsiTheme="minorHAnsi" w:cstheme="minorHAnsi"/>
          <w:i/>
          <w:sz w:val="16"/>
          <w:szCs w:val="16"/>
        </w:rPr>
        <w:t xml:space="preserve"> arrangements </w:t>
      </w:r>
      <w:proofErr w:type="spellStart"/>
      <w:r w:rsidRPr="00D559E3">
        <w:rPr>
          <w:rFonts w:asciiTheme="minorHAnsi" w:hAnsiTheme="minorHAnsi" w:cstheme="minorHAnsi"/>
          <w:i/>
          <w:sz w:val="16"/>
          <w:szCs w:val="16"/>
        </w:rPr>
        <w:t>with</w:t>
      </w:r>
      <w:proofErr w:type="spellEnd"/>
      <w:r w:rsidRPr="00D559E3">
        <w:rPr>
          <w:rFonts w:asciiTheme="minorHAnsi" w:hAnsiTheme="minorHAnsi" w:cstheme="minorHAnsi"/>
          <w:i/>
          <w:sz w:val="16"/>
          <w:szCs w:val="16"/>
        </w:rPr>
        <w:t xml:space="preserve"> </w:t>
      </w:r>
      <w:proofErr w:type="spellStart"/>
      <w:r w:rsidRPr="00D559E3">
        <w:rPr>
          <w:rFonts w:asciiTheme="minorHAnsi" w:hAnsiTheme="minorHAnsi" w:cstheme="minorHAnsi"/>
          <w:i/>
          <w:sz w:val="16"/>
          <w:szCs w:val="16"/>
        </w:rPr>
        <w:t>financial</w:t>
      </w:r>
      <w:proofErr w:type="spellEnd"/>
      <w:r w:rsidRPr="00D559E3">
        <w:rPr>
          <w:rFonts w:asciiTheme="minorHAnsi" w:hAnsiTheme="minorHAnsi" w:cstheme="minorHAnsi"/>
          <w:i/>
          <w:sz w:val="16"/>
          <w:szCs w:val="16"/>
        </w:rPr>
        <w:t xml:space="preserve"> </w:t>
      </w:r>
      <w:proofErr w:type="spellStart"/>
      <w:r w:rsidRPr="00D559E3">
        <w:rPr>
          <w:rFonts w:asciiTheme="minorHAnsi" w:hAnsiTheme="minorHAnsi" w:cstheme="minorHAnsi"/>
          <w:i/>
          <w:sz w:val="16"/>
          <w:szCs w:val="16"/>
        </w:rPr>
        <w:t>intermediaries</w:t>
      </w:r>
      <w:proofErr w:type="spellEnd"/>
      <w:r w:rsidRPr="00D559E3">
        <w:rPr>
          <w:rFonts w:asciiTheme="minorHAnsi" w:hAnsiTheme="minorHAnsi" w:cstheme="minorHAnsi"/>
          <w:i/>
          <w:sz w:val="16"/>
          <w:szCs w:val="16"/>
        </w:rPr>
        <w:t xml:space="preserve"> or </w:t>
      </w:r>
      <w:proofErr w:type="spellStart"/>
      <w:r w:rsidRPr="00D559E3">
        <w:rPr>
          <w:rFonts w:asciiTheme="minorHAnsi" w:hAnsiTheme="minorHAnsi" w:cstheme="minorHAnsi"/>
          <w:i/>
          <w:sz w:val="16"/>
          <w:szCs w:val="16"/>
        </w:rPr>
        <w:t>delegates</w:t>
      </w:r>
      <w:proofErr w:type="spellEnd"/>
      <w:r w:rsidRPr="00D559E3">
        <w:rPr>
          <w:rFonts w:asciiTheme="minorHAnsi" w:hAnsiTheme="minorHAnsi" w:cstheme="minorHAnsi"/>
          <w:i/>
          <w:sz w:val="16"/>
          <w:szCs w:val="16"/>
        </w:rPr>
        <w:t xml:space="preserve"> in </w:t>
      </w:r>
      <w:proofErr w:type="spellStart"/>
      <w:r w:rsidRPr="00D559E3">
        <w:rPr>
          <w:rFonts w:asciiTheme="minorHAnsi" w:hAnsiTheme="minorHAnsi" w:cstheme="minorHAnsi"/>
          <w:i/>
          <w:sz w:val="16"/>
          <w:szCs w:val="16"/>
        </w:rPr>
        <w:t>order</w:t>
      </w:r>
      <w:proofErr w:type="spellEnd"/>
      <w:r w:rsidRPr="00D559E3">
        <w:rPr>
          <w:rFonts w:asciiTheme="minorHAnsi" w:hAnsiTheme="minorHAnsi" w:cstheme="minorHAnsi"/>
          <w:i/>
          <w:sz w:val="16"/>
          <w:szCs w:val="16"/>
        </w:rPr>
        <w:t xml:space="preserve"> to </w:t>
      </w:r>
      <w:proofErr w:type="spellStart"/>
      <w:r w:rsidRPr="00D559E3">
        <w:rPr>
          <w:rFonts w:asciiTheme="minorHAnsi" w:hAnsiTheme="minorHAnsi" w:cstheme="minorHAnsi"/>
          <w:i/>
          <w:sz w:val="16"/>
          <w:szCs w:val="16"/>
        </w:rPr>
        <w:t>prevent</w:t>
      </w:r>
      <w:proofErr w:type="spellEnd"/>
      <w:r w:rsidRPr="00D559E3">
        <w:rPr>
          <w:rFonts w:asciiTheme="minorHAnsi" w:hAnsiTheme="minorHAnsi" w:cstheme="minorHAnsi"/>
          <w:i/>
          <w:sz w:val="16"/>
          <w:szCs w:val="16"/>
        </w:rPr>
        <w:t xml:space="preserve"> </w:t>
      </w:r>
      <w:proofErr w:type="spellStart"/>
      <w:r w:rsidRPr="00D559E3">
        <w:rPr>
          <w:rFonts w:asciiTheme="minorHAnsi" w:hAnsiTheme="minorHAnsi" w:cstheme="minorHAnsi"/>
          <w:i/>
          <w:sz w:val="16"/>
          <w:szCs w:val="16"/>
        </w:rPr>
        <w:t>any</w:t>
      </w:r>
      <w:proofErr w:type="spellEnd"/>
      <w:r w:rsidRPr="00D559E3">
        <w:rPr>
          <w:rFonts w:asciiTheme="minorHAnsi" w:hAnsiTheme="minorHAnsi" w:cstheme="minorHAnsi"/>
          <w:i/>
          <w:sz w:val="16"/>
          <w:szCs w:val="16"/>
        </w:rPr>
        <w:t xml:space="preserve"> new or </w:t>
      </w:r>
      <w:proofErr w:type="spellStart"/>
      <w:r w:rsidRPr="00D559E3">
        <w:rPr>
          <w:rFonts w:asciiTheme="minorHAnsi" w:hAnsiTheme="minorHAnsi" w:cstheme="minorHAnsi"/>
          <w:i/>
          <w:sz w:val="16"/>
          <w:szCs w:val="16"/>
        </w:rPr>
        <w:t>further</w:t>
      </w:r>
      <w:proofErr w:type="spellEnd"/>
      <w:r w:rsidRPr="00D559E3">
        <w:rPr>
          <w:rFonts w:asciiTheme="minorHAnsi" w:hAnsiTheme="minorHAnsi" w:cstheme="minorHAnsi"/>
          <w:i/>
          <w:sz w:val="16"/>
          <w:szCs w:val="16"/>
        </w:rPr>
        <w:t xml:space="preserve">, direct </w:t>
      </w:r>
      <w:proofErr w:type="spellStart"/>
      <w:r w:rsidRPr="00D559E3">
        <w:rPr>
          <w:rFonts w:asciiTheme="minorHAnsi" w:hAnsiTheme="minorHAnsi" w:cstheme="minorHAnsi"/>
          <w:i/>
          <w:sz w:val="16"/>
          <w:szCs w:val="16"/>
        </w:rPr>
        <w:t>or</w:t>
      </w:r>
      <w:proofErr w:type="spellEnd"/>
      <w:r w:rsidRPr="00D559E3">
        <w:rPr>
          <w:rFonts w:asciiTheme="minorHAnsi" w:hAnsiTheme="minorHAnsi" w:cstheme="minorHAnsi"/>
          <w:i/>
          <w:sz w:val="16"/>
          <w:szCs w:val="16"/>
        </w:rPr>
        <w:t xml:space="preserve"> indirect, </w:t>
      </w:r>
      <w:proofErr w:type="spellStart"/>
      <w:r w:rsidRPr="00D559E3">
        <w:rPr>
          <w:rFonts w:asciiTheme="minorHAnsi" w:hAnsiTheme="minorHAnsi" w:cstheme="minorHAnsi"/>
          <w:i/>
          <w:sz w:val="16"/>
          <w:szCs w:val="16"/>
        </w:rPr>
        <w:t>offering</w:t>
      </w:r>
      <w:proofErr w:type="spellEnd"/>
      <w:r w:rsidRPr="00D559E3">
        <w:rPr>
          <w:rFonts w:asciiTheme="minorHAnsi" w:hAnsiTheme="minorHAnsi" w:cstheme="minorHAnsi"/>
          <w:i/>
          <w:sz w:val="16"/>
          <w:szCs w:val="16"/>
        </w:rPr>
        <w:t xml:space="preserve"> or placement of the </w:t>
      </w:r>
      <w:proofErr w:type="spellStart"/>
      <w:r w:rsidRPr="00D559E3">
        <w:rPr>
          <w:rFonts w:asciiTheme="minorHAnsi" w:hAnsiTheme="minorHAnsi" w:cstheme="minorHAnsi"/>
          <w:i/>
          <w:sz w:val="16"/>
          <w:szCs w:val="16"/>
        </w:rPr>
        <w:t>AIF’s</w:t>
      </w:r>
      <w:proofErr w:type="spellEnd"/>
      <w:r w:rsidRPr="00D559E3">
        <w:rPr>
          <w:rFonts w:asciiTheme="minorHAnsi" w:hAnsiTheme="minorHAnsi" w:cstheme="minorHAnsi"/>
          <w:i/>
          <w:sz w:val="16"/>
          <w:szCs w:val="16"/>
        </w:rPr>
        <w:t xml:space="preserve"> </w:t>
      </w:r>
      <w:proofErr w:type="spellStart"/>
      <w:r w:rsidRPr="00D559E3">
        <w:rPr>
          <w:rFonts w:asciiTheme="minorHAnsi" w:hAnsiTheme="minorHAnsi" w:cstheme="minorHAnsi"/>
          <w:i/>
          <w:sz w:val="16"/>
          <w:szCs w:val="16"/>
        </w:rPr>
        <w:t>identified</w:t>
      </w:r>
      <w:proofErr w:type="spellEnd"/>
      <w:r w:rsidRPr="00D559E3">
        <w:rPr>
          <w:rFonts w:asciiTheme="minorHAnsi" w:hAnsiTheme="minorHAnsi" w:cstheme="minorHAnsi"/>
          <w:i/>
          <w:sz w:val="16"/>
          <w:szCs w:val="16"/>
        </w:rPr>
        <w:t xml:space="preserve"> in the notification </w:t>
      </w:r>
      <w:proofErr w:type="spellStart"/>
      <w:r w:rsidRPr="00D559E3">
        <w:rPr>
          <w:rFonts w:asciiTheme="minorHAnsi" w:hAnsiTheme="minorHAnsi" w:cstheme="minorHAnsi"/>
          <w:i/>
          <w:sz w:val="16"/>
          <w:szCs w:val="16"/>
        </w:rPr>
        <w:t>referred</w:t>
      </w:r>
      <w:proofErr w:type="spellEnd"/>
      <w:r w:rsidRPr="00D559E3">
        <w:rPr>
          <w:rFonts w:asciiTheme="minorHAnsi" w:hAnsiTheme="minorHAnsi" w:cstheme="minorHAnsi"/>
          <w:i/>
          <w:sz w:val="16"/>
          <w:szCs w:val="16"/>
        </w:rPr>
        <w:t xml:space="preserve"> to </w:t>
      </w:r>
      <w:proofErr w:type="spellStart"/>
      <w:r w:rsidRPr="00D559E3">
        <w:rPr>
          <w:rFonts w:asciiTheme="minorHAnsi" w:hAnsiTheme="minorHAnsi" w:cstheme="minorHAnsi"/>
          <w:i/>
          <w:sz w:val="16"/>
          <w:szCs w:val="16"/>
        </w:rPr>
        <w:t>herein</w:t>
      </w:r>
      <w:proofErr w:type="spellEnd"/>
      <w:r w:rsidRPr="00D559E3">
        <w:rPr>
          <w:rFonts w:asciiTheme="minorHAnsi" w:hAnsiTheme="minorHAnsi" w:cstheme="minorHAnsi"/>
          <w:i/>
          <w:sz w:val="16"/>
          <w:szCs w:val="16"/>
        </w:rPr>
        <w:t>.</w:t>
      </w:r>
    </w:p>
  </w:footnote>
  <w:footnote w:id="2">
    <w:p w:rsidR="00774AEC" w:rsidRPr="00860179" w:rsidRDefault="00774AEC" w:rsidP="00774AEC">
      <w:pPr>
        <w:jc w:val="both"/>
        <w:rPr>
          <w:lang w:val="en-US"/>
        </w:rPr>
      </w:pPr>
      <w:r w:rsidRPr="00774AEC">
        <w:rPr>
          <w:rFonts w:asciiTheme="minorHAnsi" w:hAnsiTheme="minorHAnsi" w:cstheme="minorHAnsi"/>
          <w:i/>
          <w:sz w:val="16"/>
          <w:szCs w:val="16"/>
          <w:vertAlign w:val="superscript"/>
        </w:rPr>
        <w:footnoteRef/>
      </w:r>
      <w:r w:rsidRPr="00774AEC">
        <w:rPr>
          <w:rFonts w:asciiTheme="minorHAnsi" w:hAnsiTheme="minorHAnsi" w:cstheme="minorHAnsi"/>
          <w:i/>
          <w:sz w:val="16"/>
          <w:szCs w:val="16"/>
        </w:rPr>
        <w:t xml:space="preserve"> Information on the depositary of the AIF should include the address of the depositary.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7C52C2" w:rsidP="0060040E">
    <w:pPr>
      <w:pStyle w:val="En-tte"/>
      <w:rPr>
        <w:rFonts w:asciiTheme="minorHAnsi" w:hAnsiTheme="minorHAnsi" w:cstheme="minorHAnsi"/>
        <w:sz w:val="18"/>
        <w:szCs w:val="18"/>
      </w:rPr>
    </w:pPr>
    <w:r w:rsidRPr="007C52C2">
      <w:rPr>
        <w:rFonts w:asciiTheme="minorHAnsi" w:hAnsiTheme="minorHAnsi" w:cstheme="minorHAnsi"/>
        <w:sz w:val="18"/>
        <w:szCs w:val="18"/>
      </w:rPr>
      <w:t xml:space="preserve">Dossier de retrait de notification de commercialisation dans un Etat membre de l’Union européenne autre que la France de parts ou actions de FIA de l’Union européenne (y compris français) gérés par une société de gestion de portefeuille agréée en </w:t>
    </w:r>
    <w:r>
      <w:rPr>
        <w:rFonts w:asciiTheme="minorHAnsi" w:hAnsiTheme="minorHAnsi" w:cstheme="minorHAnsi"/>
        <w:sz w:val="18"/>
        <w:szCs w:val="18"/>
      </w:rPr>
      <w:t>France – Annexe 4-1 de l’instruction AMF DOC-2014-03</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26" type="#_x0000_t75" style="width:27.9pt;height:27.9pt" o:bullet="t">
        <v:imagedata r:id="rId1" o:title="Flêche_AMF_blc"/>
      </v:shape>
    </w:pict>
  </w:numPicBullet>
  <w:numPicBullet w:numPicBulletId="1">
    <w:pict>
      <v:shape id="_x0000_i3627" type="#_x0000_t75" style="width:2.5pt;height:2.5pt" o:bullet="t">
        <v:imagedata r:id="rId2" o:title="Fleche_prune copie"/>
      </v:shape>
    </w:pict>
  </w:numPicBullet>
  <w:numPicBullet w:numPicBulletId="2">
    <w:pict>
      <v:shape id="_x0000_i3628" type="#_x0000_t75" style="width:27.9pt;height:27.9pt" o:bullet="t">
        <v:imagedata r:id="rId3" o:title="Fleche_jaune"/>
      </v:shape>
    </w:pict>
  </w:numPicBullet>
  <w:numPicBullet w:numPicBulletId="3">
    <w:pict>
      <v:shape id="_x0000_i3629" type="#_x0000_t75" style="width:27.9pt;height:27.9pt" o:bullet="t">
        <v:imagedata r:id="rId4" o:title="Fleche_aubergine"/>
      </v:shape>
    </w:pict>
  </w:numPicBullet>
  <w:numPicBullet w:numPicBulletId="4">
    <w:pict>
      <v:shape id="_x0000_i363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6842C2"/>
    <w:multiLevelType w:val="hybridMultilevel"/>
    <w:tmpl w:val="9EE0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9"/>
  </w:num>
  <w:num w:numId="23">
    <w:abstractNumId w:val="13"/>
  </w:num>
  <w:num w:numId="24">
    <w:abstractNumId w:val="30"/>
  </w:num>
  <w:num w:numId="25">
    <w:abstractNumId w:val="27"/>
  </w:num>
  <w:num w:numId="26">
    <w:abstractNumId w:val="33"/>
  </w:num>
  <w:num w:numId="27">
    <w:abstractNumId w:val="21"/>
  </w:num>
  <w:num w:numId="28">
    <w:abstractNumId w:val="16"/>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7"/>
  </w:num>
  <w:num w:numId="35">
    <w:abstractNumId w:val="29"/>
  </w:num>
  <w:num w:numId="36">
    <w:abstractNumId w:val="22"/>
  </w:num>
  <w:num w:numId="37">
    <w:abstractNumId w:val="20"/>
  </w:num>
  <w:num w:numId="38">
    <w:abstractNumId w:val="35"/>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460571"/>
    <w:rsid w:val="005009B5"/>
    <w:rsid w:val="00511597"/>
    <w:rsid w:val="00593EDE"/>
    <w:rsid w:val="005B00C4"/>
    <w:rsid w:val="005C1100"/>
    <w:rsid w:val="005C6282"/>
    <w:rsid w:val="0060040E"/>
    <w:rsid w:val="0066464A"/>
    <w:rsid w:val="00684FDF"/>
    <w:rsid w:val="006C4987"/>
    <w:rsid w:val="006E6631"/>
    <w:rsid w:val="007211C5"/>
    <w:rsid w:val="0075127A"/>
    <w:rsid w:val="00772949"/>
    <w:rsid w:val="00774AEC"/>
    <w:rsid w:val="007759C7"/>
    <w:rsid w:val="007C2CD0"/>
    <w:rsid w:val="007C52C2"/>
    <w:rsid w:val="00826BA0"/>
    <w:rsid w:val="00835FC9"/>
    <w:rsid w:val="00864F12"/>
    <w:rsid w:val="008A64B6"/>
    <w:rsid w:val="008B2E32"/>
    <w:rsid w:val="00922AD8"/>
    <w:rsid w:val="009522A4"/>
    <w:rsid w:val="0097706F"/>
    <w:rsid w:val="009D35DA"/>
    <w:rsid w:val="00A27311"/>
    <w:rsid w:val="00A375FC"/>
    <w:rsid w:val="00A52761"/>
    <w:rsid w:val="00AC2B18"/>
    <w:rsid w:val="00AF529B"/>
    <w:rsid w:val="00BA18E1"/>
    <w:rsid w:val="00C109BF"/>
    <w:rsid w:val="00C96044"/>
    <w:rsid w:val="00D52CFD"/>
    <w:rsid w:val="00D55321"/>
    <w:rsid w:val="00D559E3"/>
    <w:rsid w:val="00D80A91"/>
    <w:rsid w:val="00E049BB"/>
    <w:rsid w:val="00E1204F"/>
    <w:rsid w:val="00E46668"/>
    <w:rsid w:val="00E66D10"/>
    <w:rsid w:val="00E74AA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B3D2F"/>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7C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E7"/>
    <w:rsid w:val="003335C2"/>
    <w:rsid w:val="009C4FCA"/>
    <w:rsid w:val="00AB0E55"/>
    <w:rsid w:val="00F2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253E7"/>
    <w:rPr>
      <w:color w:val="808080"/>
    </w:rPr>
  </w:style>
  <w:style w:type="paragraph" w:customStyle="1" w:styleId="CD9B16455A04418D99369FFD2F7C7E2D">
    <w:name w:val="CD9B16455A04418D99369FFD2F7C7E2D"/>
    <w:rsid w:val="00F253E7"/>
  </w:style>
  <w:style w:type="paragraph" w:customStyle="1" w:styleId="CEBE13B19D0A429CBE28E3C84118C2FF">
    <w:name w:val="CEBE13B19D0A429CBE28E3C84118C2FF"/>
    <w:rsid w:val="00F253E7"/>
  </w:style>
  <w:style w:type="paragraph" w:customStyle="1" w:styleId="EB8138DC4B134A2D8AEF9EEFA1215883">
    <w:name w:val="EB8138DC4B134A2D8AEF9EEFA1215883"/>
    <w:rsid w:val="00F2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2626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14</cp:revision>
  <cp:lastPrinted>2010-11-05T13:58:00Z</cp:lastPrinted>
  <dcterms:created xsi:type="dcterms:W3CDTF">2021-07-12T13:12:00Z</dcterms:created>
  <dcterms:modified xsi:type="dcterms:W3CDTF">2021-07-12T13:20:00Z</dcterms:modified>
</cp:coreProperties>
</file>