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FB622B" w:rsidRDefault="00E1204F" w:rsidP="00FB622B">
      <w:pPr>
        <w:pStyle w:val="AMFTitre"/>
        <w:ind w:left="0"/>
        <w:jc w:val="both"/>
        <w:rPr>
          <w:sz w:val="24"/>
          <w:szCs w:val="24"/>
        </w:rPr>
      </w:pPr>
      <w:r w:rsidRPr="00FB622B">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FB622B" w:rsidRPr="00FB622B">
        <w:rPr>
          <w:sz w:val="24"/>
          <w:szCs w:val="24"/>
        </w:rPr>
        <w:t>Dossier de retrait de notification de commercialisation en France de parts ou actions de FIA de l’Union européenne (y compris français) gérés par une société de gestion de portefeuille agréée en France</w:t>
      </w: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F42332" w:rsidRDefault="00F42332" w:rsidP="00684FDF">
      <w:pPr>
        <w:pStyle w:val="AMFDate"/>
        <w:ind w:left="0"/>
        <w:jc w:val="left"/>
        <w:rPr>
          <w:rFonts w:asciiTheme="minorHAnsi" w:hAnsiTheme="minorHAnsi" w:cstheme="minorHAnsi"/>
        </w:rPr>
      </w:pPr>
    </w:p>
    <w:p w:rsidR="00684FDF" w:rsidRPr="00FB622B" w:rsidRDefault="00FB622B" w:rsidP="00FB622B">
      <w:pPr>
        <w:pStyle w:val="AMFDate"/>
        <w:ind w:left="0"/>
        <w:jc w:val="both"/>
        <w:rPr>
          <w:rFonts w:asciiTheme="minorHAnsi" w:hAnsiTheme="minorHAnsi" w:cstheme="minorHAnsi"/>
          <w:b w:val="0"/>
        </w:rPr>
      </w:pPr>
      <w:r w:rsidRPr="00FB622B">
        <w:rPr>
          <w:rFonts w:asciiTheme="minorHAnsi" w:hAnsiTheme="minorHAnsi" w:cstheme="minorHAnsi"/>
          <w:b w:val="0"/>
        </w:rPr>
        <w:t>Ce document constitue l’annexe 4 de l’instruction AMF – Procédures de pré-commercialisation et de commercialisation de parts ou actions de FIA – DOC-2014-03</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F42332" w:rsidRDefault="00F42332" w:rsidP="00684FDF">
      <w:pPr>
        <w:pStyle w:val="AMFDate"/>
        <w:ind w:left="0"/>
        <w:jc w:val="left"/>
        <w:rPr>
          <w:rFonts w:asciiTheme="minorHAnsi" w:hAnsiTheme="minorHAnsi" w:cstheme="minorHAnsi"/>
        </w:rPr>
      </w:pPr>
    </w:p>
    <w:p w:rsidR="003725C5" w:rsidRPr="003725C5" w:rsidRDefault="003725C5" w:rsidP="003725C5">
      <w:pPr>
        <w:jc w:val="both"/>
        <w:rPr>
          <w:rFonts w:asciiTheme="minorHAnsi" w:hAnsiTheme="minorHAnsi"/>
          <w:sz w:val="20"/>
          <w:szCs w:val="20"/>
        </w:rPr>
      </w:pPr>
      <w:r w:rsidRPr="003725C5">
        <w:rPr>
          <w:rFonts w:asciiTheme="minorHAnsi" w:hAnsiTheme="minorHAnsi"/>
          <w:sz w:val="20"/>
          <w:szCs w:val="20"/>
        </w:rPr>
        <w:t>Dénomination sociale de la société de gestion de portefeuille</w:t>
      </w:r>
      <w:proofErr w:type="gramStart"/>
      <w:r w:rsidRPr="003725C5">
        <w:rPr>
          <w:rFonts w:asciiTheme="minorHAnsi" w:hAnsiTheme="minorHAnsi"/>
          <w:sz w:val="20"/>
          <w:szCs w:val="20"/>
        </w:rPr>
        <w:t xml:space="preserve"> :</w:t>
      </w:r>
      <w:r w:rsidRPr="003725C5">
        <w:rPr>
          <w:rFonts w:asciiTheme="minorHAnsi" w:hAnsiTheme="minorHAnsi"/>
          <w:sz w:val="20"/>
          <w:szCs w:val="20"/>
        </w:rPr>
        <w:softHyphen/>
      </w:r>
      <w:proofErr w:type="gramEnd"/>
      <w:r w:rsidRPr="003725C5">
        <w:rPr>
          <w:rFonts w:asciiTheme="minorHAnsi" w:hAnsiTheme="minorHAnsi"/>
          <w:sz w:val="20"/>
          <w:szCs w:val="20"/>
        </w:rPr>
        <w:softHyphen/>
      </w:r>
      <w:r w:rsidRPr="003725C5">
        <w:rPr>
          <w:rFonts w:asciiTheme="minorHAnsi" w:hAnsiTheme="minorHAnsi"/>
          <w:sz w:val="20"/>
          <w:szCs w:val="20"/>
        </w:rPr>
        <w:softHyphen/>
      </w:r>
      <w:r w:rsidRPr="003725C5">
        <w:rPr>
          <w:rFonts w:asciiTheme="minorHAnsi" w:hAnsiTheme="minorHAnsi"/>
          <w:sz w:val="20"/>
          <w:szCs w:val="20"/>
        </w:rPr>
        <w:softHyphen/>
      </w:r>
      <w:r w:rsidRPr="003725C5">
        <w:rPr>
          <w:rFonts w:asciiTheme="minorHAnsi" w:hAnsiTheme="minorHAnsi"/>
          <w:sz w:val="20"/>
          <w:szCs w:val="20"/>
        </w:rPr>
        <w:softHyphen/>
      </w:r>
      <w:r w:rsidRPr="003725C5">
        <w:rPr>
          <w:rFonts w:asciiTheme="minorHAnsi" w:hAnsiTheme="minorHAnsi"/>
          <w:sz w:val="20"/>
          <w:szCs w:val="20"/>
        </w:rPr>
        <w:softHyphen/>
      </w:r>
      <w:r w:rsidRPr="003725C5">
        <w:rPr>
          <w:rFonts w:asciiTheme="minorHAnsi" w:hAnsiTheme="minorHAnsi"/>
          <w:sz w:val="20"/>
          <w:szCs w:val="20"/>
        </w:rPr>
        <w:softHyphen/>
      </w:r>
      <w:r w:rsidRPr="003725C5">
        <w:rPr>
          <w:rFonts w:asciiTheme="minorHAnsi" w:hAnsiTheme="minorHAnsi"/>
          <w:sz w:val="20"/>
          <w:szCs w:val="20"/>
        </w:rPr>
        <w:softHyphen/>
      </w:r>
      <w:r w:rsidRPr="003725C5">
        <w:rPr>
          <w:rFonts w:asciiTheme="minorHAnsi" w:hAnsiTheme="minorHAnsi"/>
          <w:sz w:val="20"/>
          <w:szCs w:val="20"/>
        </w:rPr>
        <w:softHyphen/>
      </w:r>
      <w:r w:rsidRPr="003725C5">
        <w:rPr>
          <w:rFonts w:asciiTheme="minorHAnsi" w:hAnsiTheme="minorHAnsi"/>
          <w:sz w:val="20"/>
          <w:szCs w:val="20"/>
        </w:rPr>
        <w:softHyphen/>
      </w:r>
      <w:r w:rsidRPr="003725C5">
        <w:rPr>
          <w:rFonts w:asciiTheme="minorHAnsi" w:hAnsiTheme="minorHAnsi"/>
          <w:sz w:val="20"/>
          <w:szCs w:val="20"/>
        </w:rPr>
        <w:softHyphen/>
      </w:r>
      <w:r w:rsidRPr="003725C5">
        <w:rPr>
          <w:rFonts w:asciiTheme="minorHAnsi" w:hAnsiTheme="minorHAnsi"/>
          <w:sz w:val="20"/>
          <w:szCs w:val="20"/>
        </w:rPr>
        <w:softHyphen/>
      </w:r>
      <w:r w:rsidRPr="003725C5">
        <w:rPr>
          <w:rFonts w:asciiTheme="minorHAnsi" w:hAnsiTheme="minorHAnsi"/>
          <w:sz w:val="20"/>
          <w:szCs w:val="20"/>
        </w:rPr>
        <w:softHyphen/>
      </w:r>
      <w:r w:rsidRPr="003725C5">
        <w:rPr>
          <w:rFonts w:asciiTheme="minorHAnsi" w:hAnsiTheme="minorHAnsi"/>
          <w:sz w:val="20"/>
          <w:szCs w:val="20"/>
        </w:rPr>
        <w:softHyphen/>
      </w:r>
      <w:r w:rsidRPr="003725C5">
        <w:rPr>
          <w:rFonts w:asciiTheme="minorHAnsi" w:hAnsiTheme="minorHAnsi"/>
          <w:sz w:val="20"/>
          <w:szCs w:val="20"/>
        </w:rPr>
        <w:softHyphen/>
      </w:r>
      <w:r w:rsidRPr="003725C5">
        <w:rPr>
          <w:rFonts w:asciiTheme="minorHAnsi" w:hAnsiTheme="minorHAnsi"/>
          <w:sz w:val="20"/>
          <w:szCs w:val="20"/>
        </w:rPr>
        <w:softHyphen/>
      </w:r>
      <w:r w:rsidRPr="003725C5">
        <w:rPr>
          <w:rFonts w:asciiTheme="minorHAnsi" w:hAnsiTheme="minorHAnsi"/>
          <w:sz w:val="20"/>
          <w:szCs w:val="20"/>
        </w:rPr>
        <w:softHyphen/>
        <w:t xml:space="preserve"> </w:t>
      </w:r>
    </w:p>
    <w:p w:rsidR="003725C5" w:rsidRPr="003725C5" w:rsidRDefault="003725C5" w:rsidP="003725C5">
      <w:pPr>
        <w:jc w:val="both"/>
        <w:rPr>
          <w:rFonts w:asciiTheme="minorHAnsi" w:hAnsiTheme="minorHAnsi"/>
          <w:sz w:val="20"/>
          <w:szCs w:val="20"/>
        </w:rPr>
      </w:pPr>
      <w:r w:rsidRPr="003725C5">
        <w:rPr>
          <w:rFonts w:asciiTheme="minorHAnsi" w:hAnsiTheme="minorHAnsi"/>
          <w:sz w:val="20"/>
          <w:szCs w:val="20"/>
        </w:rPr>
        <w:t>____________________________________________________________________________________________________</w:t>
      </w:r>
    </w:p>
    <w:p w:rsidR="003725C5" w:rsidRPr="003725C5" w:rsidRDefault="003725C5" w:rsidP="003725C5">
      <w:pPr>
        <w:jc w:val="both"/>
        <w:rPr>
          <w:rFonts w:asciiTheme="minorHAnsi" w:hAnsiTheme="minorHAnsi"/>
          <w:sz w:val="20"/>
          <w:szCs w:val="20"/>
        </w:rPr>
      </w:pPr>
    </w:p>
    <w:p w:rsidR="003725C5" w:rsidRPr="003725C5" w:rsidRDefault="003725C5" w:rsidP="003725C5">
      <w:pPr>
        <w:jc w:val="both"/>
        <w:rPr>
          <w:rFonts w:asciiTheme="minorHAnsi" w:hAnsiTheme="minorHAnsi"/>
          <w:sz w:val="20"/>
          <w:szCs w:val="20"/>
        </w:rPr>
      </w:pPr>
      <w:r w:rsidRPr="003725C5">
        <w:rPr>
          <w:rFonts w:asciiTheme="minorHAnsi" w:hAnsiTheme="minorHAnsi"/>
          <w:sz w:val="20"/>
          <w:szCs w:val="20"/>
        </w:rPr>
        <w:t>Adresse de la société de gestion de portefeuille :</w:t>
      </w:r>
    </w:p>
    <w:p w:rsidR="003725C5" w:rsidRPr="003725C5" w:rsidRDefault="003725C5" w:rsidP="003725C5">
      <w:pPr>
        <w:jc w:val="both"/>
        <w:rPr>
          <w:rFonts w:asciiTheme="minorHAnsi" w:hAnsiTheme="minorHAnsi"/>
          <w:sz w:val="20"/>
          <w:szCs w:val="20"/>
        </w:rPr>
      </w:pPr>
      <w:r w:rsidRPr="003725C5">
        <w:rPr>
          <w:rFonts w:asciiTheme="minorHAnsi" w:hAnsiTheme="minorHAnsi"/>
          <w:sz w:val="20"/>
          <w:szCs w:val="20"/>
        </w:rPr>
        <w:t>____________________________________________________________________________________________________</w:t>
      </w:r>
    </w:p>
    <w:p w:rsidR="00F42332" w:rsidRDefault="00F42332" w:rsidP="003725C5">
      <w:pPr>
        <w:jc w:val="both"/>
        <w:rPr>
          <w:rFonts w:asciiTheme="minorHAnsi" w:hAnsiTheme="minorHAnsi"/>
          <w:sz w:val="20"/>
          <w:szCs w:val="20"/>
        </w:rPr>
      </w:pPr>
    </w:p>
    <w:p w:rsidR="003725C5" w:rsidRPr="003725C5" w:rsidRDefault="003725C5" w:rsidP="003725C5">
      <w:pPr>
        <w:jc w:val="both"/>
        <w:rPr>
          <w:rFonts w:asciiTheme="minorHAnsi" w:hAnsiTheme="minorHAnsi"/>
          <w:sz w:val="20"/>
          <w:szCs w:val="20"/>
        </w:rPr>
      </w:pPr>
      <w:r w:rsidRPr="003725C5">
        <w:rPr>
          <w:rFonts w:asciiTheme="minorHAnsi" w:hAnsiTheme="minorHAnsi"/>
          <w:sz w:val="20"/>
          <w:szCs w:val="20"/>
        </w:rPr>
        <w:t xml:space="preserve">Coordonnées de la personne de contact au sein de la société de gestion de portefeuille : </w:t>
      </w:r>
    </w:p>
    <w:p w:rsidR="003725C5" w:rsidRPr="003725C5" w:rsidRDefault="003725C5" w:rsidP="003725C5">
      <w:pPr>
        <w:jc w:val="both"/>
        <w:rPr>
          <w:rFonts w:asciiTheme="minorHAnsi" w:hAnsiTheme="minorHAnsi"/>
          <w:sz w:val="20"/>
          <w:szCs w:val="20"/>
        </w:rPr>
      </w:pPr>
    </w:p>
    <w:p w:rsidR="003725C5" w:rsidRPr="003725C5" w:rsidRDefault="003725C5" w:rsidP="003725C5">
      <w:pPr>
        <w:jc w:val="both"/>
        <w:rPr>
          <w:rFonts w:asciiTheme="minorHAnsi" w:hAnsiTheme="minorHAnsi"/>
          <w:sz w:val="20"/>
          <w:szCs w:val="20"/>
        </w:rPr>
      </w:pPr>
      <w:r w:rsidRPr="003725C5">
        <w:rPr>
          <w:rFonts w:asciiTheme="minorHAnsi" w:hAnsiTheme="minorHAnsi"/>
          <w:sz w:val="20"/>
          <w:szCs w:val="20"/>
        </w:rPr>
        <w:t>Date de retrait</w:t>
      </w:r>
      <w:r w:rsidRPr="003725C5">
        <w:rPr>
          <w:rFonts w:asciiTheme="minorHAnsi" w:hAnsiTheme="minorHAnsi"/>
          <w:sz w:val="20"/>
          <w:szCs w:val="20"/>
          <w:vertAlign w:val="superscript"/>
        </w:rPr>
        <w:footnoteReference w:id="1"/>
      </w:r>
      <w:r w:rsidRPr="003725C5">
        <w:rPr>
          <w:rFonts w:asciiTheme="minorHAnsi" w:hAnsiTheme="minorHAnsi"/>
          <w:sz w:val="20"/>
          <w:szCs w:val="20"/>
        </w:rPr>
        <w:t xml:space="preserve"> de la notification de commercialisation : </w:t>
      </w:r>
    </w:p>
    <w:p w:rsidR="003725C5" w:rsidRPr="003725C5" w:rsidRDefault="003725C5" w:rsidP="003725C5">
      <w:pPr>
        <w:jc w:val="both"/>
        <w:rPr>
          <w:rFonts w:asciiTheme="minorHAnsi" w:hAnsiTheme="minorHAnsi"/>
          <w:sz w:val="20"/>
          <w:szCs w:val="20"/>
        </w:rPr>
      </w:pPr>
    </w:p>
    <w:p w:rsidR="003725C5" w:rsidRPr="003725C5" w:rsidRDefault="003725C5" w:rsidP="003725C5">
      <w:pPr>
        <w:jc w:val="both"/>
        <w:rPr>
          <w:rFonts w:asciiTheme="minorHAnsi" w:hAnsiTheme="minorHAnsi"/>
          <w:sz w:val="20"/>
          <w:szCs w:val="20"/>
        </w:rPr>
      </w:pPr>
      <w:r w:rsidRPr="003725C5">
        <w:rPr>
          <w:rFonts w:asciiTheme="minorHAnsi" w:hAnsiTheme="minorHAnsi"/>
          <w:sz w:val="20"/>
          <w:szCs w:val="20"/>
        </w:rPr>
        <w:t>Le ou les FIA ont-t-ils des compartiments ?</w:t>
      </w:r>
    </w:p>
    <w:p w:rsidR="003725C5" w:rsidRPr="003725C5" w:rsidRDefault="003725C5" w:rsidP="003725C5">
      <w:pPr>
        <w:jc w:val="both"/>
        <w:rPr>
          <w:rFonts w:asciiTheme="minorHAnsi" w:hAnsiTheme="minorHAnsi"/>
          <w:sz w:val="20"/>
          <w:szCs w:val="20"/>
        </w:rPr>
      </w:pPr>
      <w:r w:rsidRPr="003725C5">
        <w:rPr>
          <w:rFonts w:asciiTheme="minorHAnsi" w:hAnsiTheme="minorHAnsi"/>
          <w:sz w:val="20"/>
          <w:szCs w:val="20"/>
        </w:rPr>
        <w:t xml:space="preserve">Oui  </w:t>
      </w:r>
      <w:r w:rsidRPr="003725C5">
        <w:rPr>
          <w:rFonts w:asciiTheme="minorHAnsi" w:hAnsiTheme="minorHAnsi"/>
          <w:b/>
          <w:sz w:val="20"/>
          <w:szCs w:val="20"/>
        </w:rPr>
        <w:fldChar w:fldCharType="begin">
          <w:ffData>
            <w:name w:val="Check15"/>
            <w:enabled/>
            <w:calcOnExit w:val="0"/>
            <w:checkBox>
              <w:sizeAuto/>
              <w:default w:val="0"/>
            </w:checkBox>
          </w:ffData>
        </w:fldChar>
      </w:r>
      <w:r w:rsidRPr="003725C5">
        <w:rPr>
          <w:rFonts w:asciiTheme="minorHAnsi" w:hAnsiTheme="minorHAnsi"/>
          <w:b/>
          <w:sz w:val="20"/>
          <w:szCs w:val="20"/>
        </w:rPr>
        <w:instrText xml:space="preserve"> FORMCHECKBOX </w:instrText>
      </w:r>
      <w:r w:rsidRPr="003725C5">
        <w:rPr>
          <w:rFonts w:asciiTheme="minorHAnsi" w:hAnsiTheme="minorHAnsi"/>
          <w:b/>
          <w:sz w:val="20"/>
          <w:szCs w:val="20"/>
        </w:rPr>
      </w:r>
      <w:r w:rsidRPr="003725C5">
        <w:rPr>
          <w:rFonts w:asciiTheme="minorHAnsi" w:hAnsiTheme="minorHAnsi"/>
          <w:sz w:val="20"/>
          <w:szCs w:val="20"/>
        </w:rPr>
        <w:fldChar w:fldCharType="end"/>
      </w:r>
      <w:r w:rsidRPr="003725C5">
        <w:rPr>
          <w:rFonts w:asciiTheme="minorHAnsi" w:hAnsiTheme="minorHAnsi"/>
          <w:sz w:val="20"/>
          <w:szCs w:val="20"/>
        </w:rPr>
        <w:t xml:space="preserve">  Non </w:t>
      </w:r>
      <w:r w:rsidRPr="003725C5">
        <w:rPr>
          <w:rFonts w:asciiTheme="minorHAnsi" w:hAnsiTheme="minorHAnsi"/>
          <w:b/>
          <w:sz w:val="20"/>
          <w:szCs w:val="20"/>
        </w:rPr>
        <w:fldChar w:fldCharType="begin">
          <w:ffData>
            <w:name w:val="Check15"/>
            <w:enabled/>
            <w:calcOnExit w:val="0"/>
            <w:checkBox>
              <w:sizeAuto/>
              <w:default w:val="0"/>
            </w:checkBox>
          </w:ffData>
        </w:fldChar>
      </w:r>
      <w:r w:rsidRPr="003725C5">
        <w:rPr>
          <w:rFonts w:asciiTheme="minorHAnsi" w:hAnsiTheme="minorHAnsi"/>
          <w:b/>
          <w:sz w:val="20"/>
          <w:szCs w:val="20"/>
        </w:rPr>
        <w:instrText xml:space="preserve"> FORMCHECKBOX </w:instrText>
      </w:r>
      <w:r w:rsidRPr="003725C5">
        <w:rPr>
          <w:rFonts w:asciiTheme="minorHAnsi" w:hAnsiTheme="minorHAnsi"/>
          <w:b/>
          <w:sz w:val="20"/>
          <w:szCs w:val="20"/>
        </w:rPr>
      </w:r>
      <w:r w:rsidRPr="003725C5">
        <w:rPr>
          <w:rFonts w:asciiTheme="minorHAnsi" w:hAnsiTheme="minorHAnsi"/>
          <w:sz w:val="20"/>
          <w:szCs w:val="20"/>
        </w:rPr>
        <w:fldChar w:fldCharType="end"/>
      </w:r>
    </w:p>
    <w:p w:rsidR="003725C5" w:rsidRPr="003725C5" w:rsidRDefault="003725C5" w:rsidP="003725C5">
      <w:pPr>
        <w:jc w:val="both"/>
        <w:rPr>
          <w:rFonts w:asciiTheme="minorHAnsi" w:hAnsiTheme="minorHAnsi"/>
          <w:sz w:val="20"/>
          <w:szCs w:val="20"/>
        </w:rPr>
      </w:pPr>
    </w:p>
    <w:p w:rsidR="00922AD8" w:rsidRDefault="00922AD8" w:rsidP="003725C5">
      <w:pPr>
        <w:jc w:val="both"/>
        <w:rPr>
          <w:rFonts w:asciiTheme="minorHAnsi" w:hAnsiTheme="minorHAnsi"/>
          <w:sz w:val="20"/>
          <w:szCs w:val="20"/>
        </w:rPr>
      </w:pPr>
    </w:p>
    <w:p w:rsidR="00F42332" w:rsidRPr="003725C5" w:rsidRDefault="00F42332" w:rsidP="003725C5">
      <w:pPr>
        <w:jc w:val="both"/>
        <w:rPr>
          <w:rFonts w:asciiTheme="minorHAnsi" w:hAnsiTheme="minorHAnsi"/>
          <w:sz w:val="20"/>
          <w:szCs w:val="20"/>
        </w:rPr>
      </w:pPr>
    </w:p>
    <w:tbl>
      <w:tblPr>
        <w:tblW w:w="561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955"/>
        <w:gridCol w:w="955"/>
        <w:gridCol w:w="1167"/>
        <w:gridCol w:w="976"/>
        <w:gridCol w:w="976"/>
        <w:gridCol w:w="1807"/>
        <w:gridCol w:w="1761"/>
      </w:tblGrid>
      <w:tr w:rsidR="00F42332" w:rsidRPr="00F42332" w:rsidTr="001B4C4E">
        <w:tc>
          <w:tcPr>
            <w:tcW w:w="85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r w:rsidRPr="00F42332">
              <w:rPr>
                <w:rFonts w:ascii="Arial" w:eastAsia="Times" w:hAnsi="Arial" w:cs="Arial"/>
                <w:sz w:val="18"/>
                <w:szCs w:val="18"/>
              </w:rPr>
              <w:t>Nom des FIA ou des compartiments qui font l’objet d’un retrait de notification de commercialisation</w:t>
            </w:r>
          </w:p>
        </w:tc>
        <w:tc>
          <w:tcPr>
            <w:tcW w:w="46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rPr>
            </w:pPr>
            <w:r w:rsidRPr="00F42332">
              <w:rPr>
                <w:rFonts w:ascii="Arial" w:eastAsia="Times" w:hAnsi="Arial" w:cs="Arial"/>
                <w:sz w:val="18"/>
                <w:szCs w:val="18"/>
              </w:rPr>
              <w:t>Etat d’origine des FIA</w:t>
            </w:r>
          </w:p>
        </w:tc>
        <w:tc>
          <w:tcPr>
            <w:tcW w:w="46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rPr>
            </w:pPr>
            <w:r w:rsidRPr="00F42332">
              <w:rPr>
                <w:rFonts w:ascii="Arial" w:eastAsia="Times" w:hAnsi="Arial" w:cs="Arial"/>
                <w:sz w:val="18"/>
                <w:szCs w:val="18"/>
              </w:rPr>
              <w:t xml:space="preserve">Forme juridique (fonds, société, etc.) </w:t>
            </w:r>
          </w:p>
        </w:tc>
        <w:tc>
          <w:tcPr>
            <w:tcW w:w="563" w:type="pct"/>
          </w:tcPr>
          <w:p w:rsidR="00F42332" w:rsidRPr="00F42332" w:rsidRDefault="00F42332" w:rsidP="00F42332">
            <w:pPr>
              <w:spacing w:line="240" w:lineRule="atLeast"/>
              <w:contextualSpacing/>
              <w:jc w:val="both"/>
              <w:rPr>
                <w:rFonts w:ascii="Arial" w:eastAsia="Times" w:hAnsi="Arial" w:cs="Arial"/>
                <w:sz w:val="18"/>
                <w:szCs w:val="18"/>
              </w:rPr>
            </w:pPr>
            <w:r w:rsidRPr="00F42332">
              <w:rPr>
                <w:rFonts w:ascii="Arial" w:eastAsia="Times" w:hAnsi="Arial" w:cs="Arial"/>
                <w:sz w:val="18"/>
                <w:szCs w:val="18"/>
              </w:rPr>
              <w:t>Nom et adresse du dépositaire de chaque FIA</w:t>
            </w:r>
          </w:p>
        </w:tc>
        <w:tc>
          <w:tcPr>
            <w:tcW w:w="47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rPr>
            </w:pPr>
            <w:r w:rsidRPr="00F42332">
              <w:rPr>
                <w:rFonts w:ascii="Arial" w:eastAsia="Times" w:hAnsi="Arial" w:cs="Arial"/>
                <w:sz w:val="18"/>
                <w:szCs w:val="18"/>
              </w:rPr>
              <w:t>Nom du FIA maître (le cas échéant)</w:t>
            </w:r>
          </w:p>
        </w:tc>
        <w:tc>
          <w:tcPr>
            <w:tcW w:w="47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r w:rsidRPr="00F42332">
              <w:rPr>
                <w:rFonts w:ascii="Arial" w:eastAsia="Times" w:hAnsi="Arial" w:cs="Arial"/>
                <w:sz w:val="18"/>
                <w:szCs w:val="18"/>
              </w:rPr>
              <w:t xml:space="preserve">Etat d’origine du FIA maître (le cas échéant) </w:t>
            </w:r>
          </w:p>
        </w:tc>
        <w:tc>
          <w:tcPr>
            <w:tcW w:w="872"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r w:rsidRPr="00F42332">
              <w:rPr>
                <w:rFonts w:ascii="Arial" w:eastAsia="Times" w:hAnsi="Arial" w:cs="Arial"/>
                <w:sz w:val="18"/>
                <w:szCs w:val="18"/>
              </w:rPr>
              <w:t>Stratégie d’investissement (y compris, le cas échéant, existence de classes/catégories de parts ou actions)</w:t>
            </w:r>
          </w:p>
        </w:tc>
        <w:tc>
          <w:tcPr>
            <w:tcW w:w="851" w:type="pct"/>
          </w:tcPr>
          <w:p w:rsidR="00F42332" w:rsidRPr="00F42332" w:rsidRDefault="00F42332" w:rsidP="00F42332">
            <w:pPr>
              <w:spacing w:line="240" w:lineRule="atLeast"/>
              <w:contextualSpacing/>
              <w:jc w:val="both"/>
              <w:rPr>
                <w:rFonts w:ascii="Arial" w:eastAsia="Times" w:hAnsi="Arial" w:cs="Arial"/>
                <w:sz w:val="18"/>
                <w:szCs w:val="18"/>
              </w:rPr>
            </w:pPr>
            <w:r w:rsidRPr="00F42332">
              <w:rPr>
                <w:rFonts w:ascii="Arial" w:eastAsia="Times" w:hAnsi="Arial" w:cs="Arial"/>
                <w:sz w:val="18"/>
                <w:szCs w:val="18"/>
              </w:rPr>
              <w:t>Date de la notification initiale de commercialisation</w:t>
            </w:r>
          </w:p>
        </w:tc>
      </w:tr>
      <w:tr w:rsidR="00F42332" w:rsidRPr="00F42332" w:rsidTr="001B4C4E">
        <w:tc>
          <w:tcPr>
            <w:tcW w:w="85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46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46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563" w:type="pct"/>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47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47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872"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851" w:type="pct"/>
          </w:tcPr>
          <w:p w:rsidR="00F42332" w:rsidRPr="00F42332" w:rsidRDefault="00F42332" w:rsidP="00F42332">
            <w:pPr>
              <w:spacing w:line="240" w:lineRule="atLeast"/>
              <w:contextualSpacing/>
              <w:jc w:val="both"/>
              <w:rPr>
                <w:rFonts w:ascii="Arial" w:eastAsia="Times" w:hAnsi="Arial" w:cs="Arial"/>
                <w:sz w:val="18"/>
                <w:szCs w:val="18"/>
                <w:highlight w:val="yellow"/>
              </w:rPr>
            </w:pPr>
          </w:p>
        </w:tc>
      </w:tr>
      <w:tr w:rsidR="00F42332" w:rsidRPr="00F42332" w:rsidTr="001B4C4E">
        <w:tc>
          <w:tcPr>
            <w:tcW w:w="85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46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46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563" w:type="pct"/>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47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47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872"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851" w:type="pct"/>
          </w:tcPr>
          <w:p w:rsidR="00F42332" w:rsidRPr="00F42332" w:rsidRDefault="00F42332" w:rsidP="00F42332">
            <w:pPr>
              <w:spacing w:line="240" w:lineRule="atLeast"/>
              <w:contextualSpacing/>
              <w:jc w:val="both"/>
              <w:rPr>
                <w:rFonts w:ascii="Arial" w:eastAsia="Times" w:hAnsi="Arial" w:cs="Arial"/>
                <w:sz w:val="18"/>
                <w:szCs w:val="18"/>
                <w:highlight w:val="yellow"/>
              </w:rPr>
            </w:pPr>
          </w:p>
        </w:tc>
      </w:tr>
      <w:tr w:rsidR="00F42332" w:rsidRPr="00F42332" w:rsidTr="001B4C4E">
        <w:tc>
          <w:tcPr>
            <w:tcW w:w="85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46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46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563" w:type="pct"/>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47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471"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872" w:type="pct"/>
            <w:shd w:val="clear" w:color="auto" w:fill="auto"/>
          </w:tcPr>
          <w:p w:rsidR="00F42332" w:rsidRPr="00F42332" w:rsidRDefault="00F42332" w:rsidP="00F42332">
            <w:pPr>
              <w:spacing w:line="240" w:lineRule="atLeast"/>
              <w:contextualSpacing/>
              <w:jc w:val="both"/>
              <w:rPr>
                <w:rFonts w:ascii="Arial" w:eastAsia="Times" w:hAnsi="Arial" w:cs="Arial"/>
                <w:sz w:val="18"/>
                <w:szCs w:val="18"/>
                <w:highlight w:val="yellow"/>
              </w:rPr>
            </w:pPr>
          </w:p>
        </w:tc>
        <w:tc>
          <w:tcPr>
            <w:tcW w:w="851" w:type="pct"/>
          </w:tcPr>
          <w:p w:rsidR="00F42332" w:rsidRPr="00F42332" w:rsidRDefault="00F42332" w:rsidP="00F42332">
            <w:pPr>
              <w:spacing w:line="240" w:lineRule="atLeast"/>
              <w:contextualSpacing/>
              <w:jc w:val="both"/>
              <w:rPr>
                <w:rFonts w:ascii="Arial" w:eastAsia="Times" w:hAnsi="Arial" w:cs="Arial"/>
                <w:sz w:val="18"/>
                <w:szCs w:val="18"/>
                <w:highlight w:val="yellow"/>
              </w:rPr>
            </w:pPr>
          </w:p>
        </w:tc>
      </w:tr>
    </w:tbl>
    <w:p w:rsidR="00922AD8" w:rsidRDefault="00922AD8" w:rsidP="003725C5">
      <w:pPr>
        <w:jc w:val="both"/>
        <w:rPr>
          <w:rFonts w:asciiTheme="minorHAnsi" w:hAnsiTheme="minorHAnsi"/>
          <w:sz w:val="20"/>
          <w:szCs w:val="20"/>
        </w:rPr>
      </w:pPr>
    </w:p>
    <w:p w:rsidR="00F42332" w:rsidRPr="003725C5" w:rsidRDefault="00F42332" w:rsidP="003725C5">
      <w:pPr>
        <w:jc w:val="both"/>
        <w:rPr>
          <w:rFonts w:asciiTheme="minorHAnsi" w:hAnsiTheme="minorHAnsi"/>
          <w:sz w:val="20"/>
          <w:szCs w:val="20"/>
        </w:rPr>
      </w:pPr>
    </w:p>
    <w:p w:rsidR="00F42332" w:rsidRPr="00F42332" w:rsidRDefault="00F42332" w:rsidP="00F42332">
      <w:pPr>
        <w:jc w:val="both"/>
        <w:rPr>
          <w:rFonts w:asciiTheme="minorHAnsi" w:hAnsiTheme="minorHAnsi"/>
          <w:sz w:val="20"/>
          <w:szCs w:val="20"/>
        </w:rPr>
      </w:pPr>
      <w:r w:rsidRPr="00F42332">
        <w:rPr>
          <w:rFonts w:asciiTheme="minorHAnsi" w:hAnsiTheme="minorHAnsi"/>
          <w:sz w:val="20"/>
          <w:szCs w:val="20"/>
        </w:rPr>
        <w:t>Pièces à joindre au dossier pour chaque FIA (il est rappelé que tout dossier incomplet est irrecevable) :</w:t>
      </w:r>
    </w:p>
    <w:p w:rsidR="00F42332" w:rsidRPr="00F42332" w:rsidRDefault="00F42332" w:rsidP="00F42332">
      <w:pPr>
        <w:jc w:val="both"/>
        <w:rPr>
          <w:rFonts w:asciiTheme="minorHAnsi" w:hAnsiTheme="minorHAnsi"/>
          <w:sz w:val="20"/>
          <w:szCs w:val="20"/>
        </w:rPr>
      </w:pPr>
    </w:p>
    <w:p w:rsidR="00F42332" w:rsidRPr="00F42332" w:rsidRDefault="00F42332" w:rsidP="00F42332">
      <w:pPr>
        <w:jc w:val="both"/>
        <w:rPr>
          <w:rFonts w:asciiTheme="minorHAnsi" w:hAnsiTheme="minorHAnsi"/>
          <w:sz w:val="20"/>
          <w:szCs w:val="20"/>
        </w:rPr>
      </w:pPr>
      <w:r w:rsidRPr="00F42332">
        <w:rPr>
          <w:rFonts w:asciiTheme="minorHAnsi" w:hAnsiTheme="minorHAnsi"/>
          <w:b/>
          <w:sz w:val="20"/>
          <w:szCs w:val="20"/>
        </w:rPr>
        <w:fldChar w:fldCharType="begin">
          <w:ffData>
            <w:name w:val="Check15"/>
            <w:enabled/>
            <w:calcOnExit w:val="0"/>
            <w:checkBox>
              <w:sizeAuto/>
              <w:default w:val="0"/>
            </w:checkBox>
          </w:ffData>
        </w:fldChar>
      </w:r>
      <w:r w:rsidRPr="00F42332">
        <w:rPr>
          <w:rFonts w:asciiTheme="minorHAnsi" w:hAnsiTheme="minorHAnsi"/>
          <w:b/>
          <w:sz w:val="20"/>
          <w:szCs w:val="20"/>
        </w:rPr>
        <w:instrText xml:space="preserve"> FORMCHECKBOX </w:instrText>
      </w:r>
      <w:r w:rsidRPr="00F42332">
        <w:rPr>
          <w:rFonts w:asciiTheme="minorHAnsi" w:hAnsiTheme="minorHAnsi"/>
          <w:b/>
          <w:sz w:val="20"/>
          <w:szCs w:val="20"/>
        </w:rPr>
      </w:r>
      <w:r w:rsidRPr="00F42332">
        <w:rPr>
          <w:rFonts w:asciiTheme="minorHAnsi" w:hAnsiTheme="minorHAnsi"/>
          <w:sz w:val="20"/>
          <w:szCs w:val="20"/>
        </w:rPr>
        <w:fldChar w:fldCharType="end"/>
      </w:r>
      <w:r w:rsidRPr="00F42332">
        <w:rPr>
          <w:rFonts w:asciiTheme="minorHAnsi" w:hAnsiTheme="minorHAnsi"/>
          <w:b/>
          <w:sz w:val="20"/>
          <w:szCs w:val="20"/>
        </w:rPr>
        <w:t xml:space="preserve"> </w:t>
      </w:r>
      <w:r w:rsidRPr="00F42332">
        <w:rPr>
          <w:rFonts w:asciiTheme="minorHAnsi" w:hAnsiTheme="minorHAnsi"/>
          <w:sz w:val="20"/>
          <w:szCs w:val="20"/>
        </w:rPr>
        <w:t xml:space="preserve">L’information adressée, directement ou par des intermédiaires financiers, individuellement à tous les investisseurs en France dont l'identité est connue sur l’offre générale de rachat ou de remboursement, sans frais ou déductions, pour toutes les parts ou actions des FIA identifiées dans la notification qui sont détenues par des </w:t>
      </w:r>
      <w:r w:rsidRPr="00F42332">
        <w:rPr>
          <w:rFonts w:asciiTheme="minorHAnsi" w:hAnsiTheme="minorHAnsi"/>
          <w:sz w:val="20"/>
          <w:szCs w:val="20"/>
        </w:rPr>
        <w:lastRenderedPageBreak/>
        <w:t xml:space="preserve">investisseurs en France  sauf dans le cas des FIA de type fermé et des fonds européens d'investissement à long terme régis par le règlement (UE) 2015/760 du 29 avril 2015. </w:t>
      </w:r>
    </w:p>
    <w:p w:rsidR="00F42332" w:rsidRPr="00F42332" w:rsidRDefault="00F42332" w:rsidP="00F42332">
      <w:pPr>
        <w:jc w:val="both"/>
        <w:rPr>
          <w:rFonts w:asciiTheme="minorHAnsi" w:hAnsiTheme="minorHAnsi"/>
          <w:sz w:val="20"/>
          <w:szCs w:val="20"/>
        </w:rPr>
      </w:pPr>
      <w:r w:rsidRPr="00F42332">
        <w:rPr>
          <w:rFonts w:asciiTheme="minorHAnsi" w:hAnsiTheme="minorHAnsi"/>
          <w:b/>
          <w:sz w:val="20"/>
          <w:szCs w:val="20"/>
        </w:rPr>
        <w:fldChar w:fldCharType="begin">
          <w:ffData>
            <w:name w:val="Check15"/>
            <w:enabled/>
            <w:calcOnExit w:val="0"/>
            <w:checkBox>
              <w:sizeAuto/>
              <w:default w:val="0"/>
            </w:checkBox>
          </w:ffData>
        </w:fldChar>
      </w:r>
      <w:r w:rsidRPr="00F42332">
        <w:rPr>
          <w:rFonts w:asciiTheme="minorHAnsi" w:hAnsiTheme="minorHAnsi"/>
          <w:b/>
          <w:sz w:val="20"/>
          <w:szCs w:val="20"/>
        </w:rPr>
        <w:instrText xml:space="preserve"> FORMCHECKBOX </w:instrText>
      </w:r>
      <w:r w:rsidRPr="00F42332">
        <w:rPr>
          <w:rFonts w:asciiTheme="minorHAnsi" w:hAnsiTheme="minorHAnsi"/>
          <w:b/>
          <w:sz w:val="20"/>
          <w:szCs w:val="20"/>
        </w:rPr>
      </w:r>
      <w:r w:rsidRPr="00F42332">
        <w:rPr>
          <w:rFonts w:asciiTheme="minorHAnsi" w:hAnsiTheme="minorHAnsi"/>
          <w:sz w:val="20"/>
          <w:szCs w:val="20"/>
        </w:rPr>
        <w:fldChar w:fldCharType="end"/>
      </w:r>
      <w:r w:rsidRPr="00F42332">
        <w:rPr>
          <w:rFonts w:asciiTheme="minorHAnsi" w:hAnsiTheme="minorHAnsi"/>
          <w:b/>
          <w:sz w:val="20"/>
          <w:szCs w:val="20"/>
        </w:rPr>
        <w:t xml:space="preserve"> </w:t>
      </w:r>
      <w:r w:rsidRPr="00F42332">
        <w:rPr>
          <w:rFonts w:asciiTheme="minorHAnsi" w:hAnsiTheme="minorHAnsi"/>
          <w:sz w:val="20"/>
          <w:szCs w:val="20"/>
        </w:rPr>
        <w:t xml:space="preserve">L’information, rendue publique sur un support accessible au public, y compris par des moyens électroniques, qui est usuel pour la commercialisation de FIA et adapté à un investisseur type de FIA sur l'intention de mettre un terme aux modalités prévues pour commercialiser des parts ou actions de certains ou de l'ensemble des FIA en France. </w:t>
      </w:r>
    </w:p>
    <w:p w:rsidR="00F42332" w:rsidRPr="00F42332" w:rsidRDefault="00F42332" w:rsidP="00F42332">
      <w:pPr>
        <w:jc w:val="both"/>
        <w:rPr>
          <w:rFonts w:asciiTheme="minorHAnsi" w:hAnsiTheme="minorHAnsi"/>
          <w:b/>
          <w:sz w:val="20"/>
          <w:szCs w:val="20"/>
        </w:rPr>
      </w:pPr>
      <w:r w:rsidRPr="00F42332">
        <w:rPr>
          <w:rFonts w:asciiTheme="minorHAnsi" w:hAnsiTheme="minorHAnsi"/>
          <w:b/>
          <w:sz w:val="20"/>
          <w:szCs w:val="20"/>
        </w:rPr>
        <w:fldChar w:fldCharType="begin">
          <w:ffData>
            <w:name w:val="Check15"/>
            <w:enabled/>
            <w:calcOnExit w:val="0"/>
            <w:checkBox>
              <w:sizeAuto/>
              <w:default w:val="0"/>
            </w:checkBox>
          </w:ffData>
        </w:fldChar>
      </w:r>
      <w:r w:rsidRPr="00F42332">
        <w:rPr>
          <w:rFonts w:asciiTheme="minorHAnsi" w:hAnsiTheme="minorHAnsi"/>
          <w:b/>
          <w:sz w:val="20"/>
          <w:szCs w:val="20"/>
        </w:rPr>
        <w:instrText xml:space="preserve"> FORMCHECKBOX </w:instrText>
      </w:r>
      <w:r w:rsidRPr="00F42332">
        <w:rPr>
          <w:rFonts w:asciiTheme="minorHAnsi" w:hAnsiTheme="minorHAnsi"/>
          <w:b/>
          <w:sz w:val="20"/>
          <w:szCs w:val="20"/>
        </w:rPr>
      </w:r>
      <w:r w:rsidRPr="00F42332">
        <w:rPr>
          <w:rFonts w:asciiTheme="minorHAnsi" w:hAnsiTheme="minorHAnsi"/>
          <w:sz w:val="20"/>
          <w:szCs w:val="20"/>
        </w:rPr>
        <w:fldChar w:fldCharType="end"/>
      </w:r>
      <w:r w:rsidRPr="00F42332">
        <w:rPr>
          <w:rFonts w:asciiTheme="minorHAnsi" w:hAnsiTheme="minorHAnsi"/>
          <w:b/>
          <w:sz w:val="20"/>
          <w:szCs w:val="20"/>
        </w:rPr>
        <w:t xml:space="preserve"> </w:t>
      </w:r>
      <w:r w:rsidRPr="00F42332">
        <w:rPr>
          <w:rFonts w:asciiTheme="minorHAnsi" w:hAnsiTheme="minorHAnsi"/>
          <w:sz w:val="20"/>
          <w:szCs w:val="20"/>
        </w:rPr>
        <w:t>Une attestation selon laquelle toutes modalités contractuelles avec des intermédiaires financiers ou des délégataires sont modifiées ou abrogées avec effet à partir de la date du retrait de la notification afin d'empêcher toute activité nouvelle ou supplémentaire, directe ou indirecte, d'offre ou de placement des parts ou actions des FIA identifiées dans la présente notification.</w:t>
      </w:r>
    </w:p>
    <w:p w:rsidR="00F42332" w:rsidRPr="00F42332" w:rsidRDefault="00F42332" w:rsidP="00F42332">
      <w:pPr>
        <w:jc w:val="both"/>
        <w:rPr>
          <w:rFonts w:asciiTheme="minorHAnsi" w:hAnsiTheme="minorHAnsi"/>
          <w:b/>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Pr="003725C5" w:rsidRDefault="00922AD8" w:rsidP="003725C5">
      <w:pPr>
        <w:jc w:val="both"/>
        <w:rPr>
          <w:rFonts w:asciiTheme="minorHAnsi" w:hAnsiTheme="minorHAnsi"/>
          <w:sz w:val="20"/>
          <w:szCs w:val="20"/>
        </w:rPr>
      </w:pPr>
    </w:p>
    <w:p w:rsidR="00922AD8" w:rsidRDefault="00922AD8" w:rsidP="005C6282">
      <w:bookmarkStart w:id="0" w:name="_GoBack"/>
      <w:bookmarkEnd w:id="0"/>
    </w:p>
    <w:sectPr w:rsidR="00922AD8"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B6" w:rsidRDefault="00B502B6">
      <w:r>
        <w:separator/>
      </w:r>
    </w:p>
  </w:endnote>
  <w:endnote w:type="continuationSeparator" w:id="0">
    <w:p w:rsidR="00B502B6" w:rsidRDefault="00B5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812924"/>
      <w:docPartObj>
        <w:docPartGallery w:val="Page Numbers (Bottom of Page)"/>
        <w:docPartUnique/>
      </w:docPartObj>
    </w:sdtPr>
    <w:sdtContent>
      <w:p w:rsidR="00E7066D" w:rsidRDefault="00E7066D">
        <w:pPr>
          <w:pStyle w:val="Pieddepage"/>
          <w:jc w:val="right"/>
        </w:pPr>
        <w:r w:rsidRPr="00E7066D">
          <w:rPr>
            <w:rFonts w:asciiTheme="minorHAnsi" w:hAnsiTheme="minorHAnsi"/>
            <w:sz w:val="16"/>
            <w:szCs w:val="16"/>
          </w:rPr>
          <w:fldChar w:fldCharType="begin"/>
        </w:r>
        <w:r w:rsidRPr="00E7066D">
          <w:rPr>
            <w:rFonts w:asciiTheme="minorHAnsi" w:hAnsiTheme="minorHAnsi"/>
            <w:sz w:val="16"/>
            <w:szCs w:val="16"/>
          </w:rPr>
          <w:instrText>PAGE   \* MERGEFORMAT</w:instrText>
        </w:r>
        <w:r w:rsidRPr="00E7066D">
          <w:rPr>
            <w:rFonts w:asciiTheme="minorHAnsi" w:hAnsiTheme="minorHAnsi"/>
            <w:sz w:val="16"/>
            <w:szCs w:val="16"/>
          </w:rPr>
          <w:fldChar w:fldCharType="separate"/>
        </w:r>
        <w:r>
          <w:rPr>
            <w:rFonts w:asciiTheme="minorHAnsi" w:hAnsiTheme="minorHAnsi"/>
            <w:noProof/>
            <w:sz w:val="16"/>
            <w:szCs w:val="16"/>
          </w:rPr>
          <w:t>2</w:t>
        </w:r>
        <w:r w:rsidRPr="00E7066D">
          <w:rPr>
            <w:rFonts w:asciiTheme="minorHAnsi" w:hAnsiTheme="minorHAnsi"/>
            <w:sz w:val="16"/>
            <w:szCs w:val="16"/>
          </w:rPr>
          <w:fldChar w:fldCharType="end"/>
        </w:r>
        <w:r>
          <w:rPr>
            <w:rFonts w:asciiTheme="minorHAnsi" w:hAnsiTheme="minorHAnsi"/>
            <w:sz w:val="16"/>
            <w:szCs w:val="16"/>
          </w:rPr>
          <w:t>/2</w:t>
        </w:r>
      </w:p>
    </w:sdtContent>
  </w:sdt>
  <w:p w:rsidR="00E7066D" w:rsidRDefault="00E706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586699"/>
      <w:docPartObj>
        <w:docPartGallery w:val="Page Numbers (Bottom of Page)"/>
        <w:docPartUnique/>
      </w:docPartObj>
    </w:sdtPr>
    <w:sdtContent>
      <w:p w:rsidR="00E7066D" w:rsidRDefault="00E7066D">
        <w:pPr>
          <w:pStyle w:val="Pieddepage"/>
          <w:jc w:val="right"/>
        </w:pPr>
        <w:r w:rsidRPr="00E7066D">
          <w:rPr>
            <w:rFonts w:asciiTheme="minorHAnsi" w:hAnsiTheme="minorHAnsi"/>
            <w:sz w:val="16"/>
            <w:szCs w:val="16"/>
          </w:rPr>
          <w:fldChar w:fldCharType="begin"/>
        </w:r>
        <w:r w:rsidRPr="00E7066D">
          <w:rPr>
            <w:rFonts w:asciiTheme="minorHAnsi" w:hAnsiTheme="minorHAnsi"/>
            <w:sz w:val="16"/>
            <w:szCs w:val="16"/>
          </w:rPr>
          <w:instrText>PAGE   \* MERGEFORMAT</w:instrText>
        </w:r>
        <w:r w:rsidRPr="00E7066D">
          <w:rPr>
            <w:rFonts w:asciiTheme="minorHAnsi" w:hAnsiTheme="minorHAnsi"/>
            <w:sz w:val="16"/>
            <w:szCs w:val="16"/>
          </w:rPr>
          <w:fldChar w:fldCharType="separate"/>
        </w:r>
        <w:r>
          <w:rPr>
            <w:rFonts w:asciiTheme="minorHAnsi" w:hAnsiTheme="minorHAnsi"/>
            <w:noProof/>
            <w:sz w:val="16"/>
            <w:szCs w:val="16"/>
          </w:rPr>
          <w:t>1</w:t>
        </w:r>
        <w:r w:rsidRPr="00E7066D">
          <w:rPr>
            <w:rFonts w:asciiTheme="minorHAnsi" w:hAnsiTheme="minorHAnsi"/>
            <w:sz w:val="16"/>
            <w:szCs w:val="16"/>
          </w:rPr>
          <w:fldChar w:fldCharType="end"/>
        </w:r>
        <w:r>
          <w:rPr>
            <w:rFonts w:asciiTheme="minorHAnsi" w:hAnsiTheme="minorHAnsi"/>
            <w:sz w:val="16"/>
            <w:szCs w:val="16"/>
          </w:rPr>
          <w:t>/2</w:t>
        </w:r>
      </w:p>
    </w:sdtContent>
  </w:sdt>
  <w:p w:rsidR="00E7066D" w:rsidRDefault="00E706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B6" w:rsidRDefault="00B502B6">
      <w:r>
        <w:separator/>
      </w:r>
    </w:p>
  </w:footnote>
  <w:footnote w:type="continuationSeparator" w:id="0">
    <w:p w:rsidR="00B502B6" w:rsidRDefault="00B502B6">
      <w:r>
        <w:continuationSeparator/>
      </w:r>
    </w:p>
  </w:footnote>
  <w:footnote w:id="1">
    <w:p w:rsidR="003725C5" w:rsidRDefault="003725C5" w:rsidP="003725C5">
      <w:pPr>
        <w:jc w:val="both"/>
      </w:pPr>
      <w:r w:rsidRPr="003725C5">
        <w:rPr>
          <w:rFonts w:asciiTheme="minorHAnsi" w:hAnsiTheme="minorHAnsi" w:cstheme="minorHAnsi"/>
          <w:i/>
          <w:sz w:val="16"/>
          <w:szCs w:val="16"/>
          <w:vertAlign w:val="superscript"/>
        </w:rPr>
        <w:footnoteRef/>
      </w:r>
      <w:r w:rsidRPr="003725C5">
        <w:rPr>
          <w:rFonts w:asciiTheme="minorHAnsi" w:hAnsiTheme="minorHAnsi" w:cstheme="minorHAnsi"/>
          <w:i/>
          <w:sz w:val="16"/>
          <w:szCs w:val="16"/>
        </w:rPr>
        <w:t xml:space="preserve"> A savoir la date à laquelle toutes modalités contractuelles avec des intermédiaires financiers ou des délégataires sont effectivement modifiées ou résiliées pour mettre fin à la commercialisation du ou des FIA en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F42332">
    <w:pPr>
      <w:pStyle w:val="En-tte"/>
      <w:rPr>
        <w:rFonts w:asciiTheme="minorHAnsi" w:hAnsiTheme="minorHAnsi" w:cstheme="minorHAnsi"/>
        <w:sz w:val="18"/>
        <w:szCs w:val="18"/>
      </w:rPr>
    </w:pPr>
    <w:r w:rsidRPr="00F42332">
      <w:rPr>
        <w:rFonts w:asciiTheme="minorHAnsi" w:hAnsiTheme="minorHAnsi" w:cstheme="minorHAnsi"/>
        <w:sz w:val="18"/>
        <w:szCs w:val="18"/>
      </w:rPr>
      <w:t xml:space="preserve">Dossier de retrait de notification de commercialisation en France de parts ou actions de FIA de l’Union européenne (y compris français) gérés par une société de gestion de portefeuille agréée en </w:t>
    </w:r>
    <w:r>
      <w:rPr>
        <w:rFonts w:asciiTheme="minorHAnsi" w:hAnsiTheme="minorHAnsi" w:cstheme="minorHAnsi"/>
        <w:sz w:val="18"/>
        <w:szCs w:val="18"/>
      </w:rPr>
      <w:t>France – Annexe 4 de l’instruction DOC-2014-03</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371" type="#_x0000_t75" style="width:27.9pt;height:27.9pt" o:bullet="t">
        <v:imagedata r:id="rId1" o:title="Flêche_AMF_blc"/>
      </v:shape>
    </w:pict>
  </w:numPicBullet>
  <w:numPicBullet w:numPicBulletId="1">
    <w:pict>
      <v:shape id="_x0000_i3372" type="#_x0000_t75" style="width:2.5pt;height:2.5pt" o:bullet="t">
        <v:imagedata r:id="rId2" o:title="Fleche_prune copie"/>
      </v:shape>
    </w:pict>
  </w:numPicBullet>
  <w:numPicBullet w:numPicBulletId="2">
    <w:pict>
      <v:shape id="_x0000_i3373" type="#_x0000_t75" style="width:27.9pt;height:27.9pt" o:bullet="t">
        <v:imagedata r:id="rId3" o:title="Fleche_jaune"/>
      </v:shape>
    </w:pict>
  </w:numPicBullet>
  <w:numPicBullet w:numPicBulletId="3">
    <w:pict>
      <v:shape id="_x0000_i3374" type="#_x0000_t75" style="width:27.9pt;height:27.9pt" o:bullet="t">
        <v:imagedata r:id="rId4" o:title="Fleche_aubergine"/>
      </v:shape>
    </w:pict>
  </w:numPicBullet>
  <w:numPicBullet w:numPicBulletId="4">
    <w:pict>
      <v:shape id="_x0000_i3375"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6842C2"/>
    <w:multiLevelType w:val="hybridMultilevel"/>
    <w:tmpl w:val="9EE06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5E4F6B"/>
    <w:multiLevelType w:val="multilevel"/>
    <w:tmpl w:val="D46E37E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2"/>
  </w:num>
  <w:num w:numId="5">
    <w:abstractNumId w:val="35"/>
  </w:num>
  <w:num w:numId="6">
    <w:abstractNumId w:val="11"/>
  </w:num>
  <w:num w:numId="7">
    <w:abstractNumId w:val="12"/>
  </w:num>
  <w:num w:numId="8">
    <w:abstractNumId w:val="2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7"/>
  </w:num>
  <w:num w:numId="21">
    <w:abstractNumId w:val="14"/>
  </w:num>
  <w:num w:numId="22">
    <w:abstractNumId w:val="19"/>
  </w:num>
  <w:num w:numId="23">
    <w:abstractNumId w:val="13"/>
  </w:num>
  <w:num w:numId="24">
    <w:abstractNumId w:val="31"/>
  </w:num>
  <w:num w:numId="25">
    <w:abstractNumId w:val="28"/>
  </w:num>
  <w:num w:numId="26">
    <w:abstractNumId w:val="34"/>
  </w:num>
  <w:num w:numId="27">
    <w:abstractNumId w:val="21"/>
  </w:num>
  <w:num w:numId="28">
    <w:abstractNumId w:val="16"/>
  </w:num>
  <w:num w:numId="29">
    <w:abstractNumId w:val="23"/>
    <w:lvlOverride w:ilvl="0">
      <w:startOverride w:val="1"/>
    </w:lvlOverride>
  </w:num>
  <w:num w:numId="30">
    <w:abstractNumId w:val="13"/>
  </w:num>
  <w:num w:numId="31">
    <w:abstractNumId w:val="33"/>
  </w:num>
  <w:num w:numId="32">
    <w:abstractNumId w:val="25"/>
  </w:num>
  <w:num w:numId="33">
    <w:abstractNumId w:val="29"/>
  </w:num>
  <w:num w:numId="34">
    <w:abstractNumId w:val="17"/>
  </w:num>
  <w:num w:numId="35">
    <w:abstractNumId w:val="30"/>
  </w:num>
  <w:num w:numId="36">
    <w:abstractNumId w:val="22"/>
  </w:num>
  <w:num w:numId="37">
    <w:abstractNumId w:val="20"/>
  </w:num>
  <w:num w:numId="38">
    <w:abstractNumId w:val="36"/>
  </w:num>
  <w:num w:numId="39">
    <w:abstractNumId w:val="18"/>
  </w:num>
  <w:num w:numId="4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23233D"/>
    <w:rsid w:val="002434A6"/>
    <w:rsid w:val="002F705A"/>
    <w:rsid w:val="00365120"/>
    <w:rsid w:val="003725C5"/>
    <w:rsid w:val="003B0015"/>
    <w:rsid w:val="00460571"/>
    <w:rsid w:val="005009B5"/>
    <w:rsid w:val="00511597"/>
    <w:rsid w:val="00593EDE"/>
    <w:rsid w:val="005C1100"/>
    <w:rsid w:val="005C6282"/>
    <w:rsid w:val="0066464A"/>
    <w:rsid w:val="00684FDF"/>
    <w:rsid w:val="006C4987"/>
    <w:rsid w:val="006E6631"/>
    <w:rsid w:val="007211C5"/>
    <w:rsid w:val="0075127A"/>
    <w:rsid w:val="007759C7"/>
    <w:rsid w:val="007C2CD0"/>
    <w:rsid w:val="00826BA0"/>
    <w:rsid w:val="00835FC9"/>
    <w:rsid w:val="008A64B6"/>
    <w:rsid w:val="008B2E32"/>
    <w:rsid w:val="00922AD8"/>
    <w:rsid w:val="009522A4"/>
    <w:rsid w:val="0097706F"/>
    <w:rsid w:val="009C37A9"/>
    <w:rsid w:val="009D35DA"/>
    <w:rsid w:val="00A375FC"/>
    <w:rsid w:val="00A52761"/>
    <w:rsid w:val="00AC2B18"/>
    <w:rsid w:val="00AF529B"/>
    <w:rsid w:val="00B502B6"/>
    <w:rsid w:val="00C109BF"/>
    <w:rsid w:val="00C96044"/>
    <w:rsid w:val="00D52CFD"/>
    <w:rsid w:val="00D55321"/>
    <w:rsid w:val="00D80A91"/>
    <w:rsid w:val="00E049BB"/>
    <w:rsid w:val="00E1204F"/>
    <w:rsid w:val="00E46668"/>
    <w:rsid w:val="00E66D10"/>
    <w:rsid w:val="00E7066D"/>
    <w:rsid w:val="00E74AAB"/>
    <w:rsid w:val="00F42332"/>
    <w:rsid w:val="00FB62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B88DB"/>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7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E7"/>
    <w:rsid w:val="003335C2"/>
    <w:rsid w:val="0072223F"/>
    <w:rsid w:val="00AB0E55"/>
    <w:rsid w:val="00F25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F253E7"/>
    <w:rPr>
      <w:color w:val="808080"/>
    </w:rPr>
  </w:style>
  <w:style w:type="paragraph" w:customStyle="1" w:styleId="CD9B16455A04418D99369FFD2F7C7E2D">
    <w:name w:val="CD9B16455A04418D99369FFD2F7C7E2D"/>
    <w:rsid w:val="00F253E7"/>
  </w:style>
  <w:style w:type="paragraph" w:customStyle="1" w:styleId="CEBE13B19D0A429CBE28E3C84118C2FF">
    <w:name w:val="CEBE13B19D0A429CBE28E3C84118C2FF"/>
    <w:rsid w:val="00F253E7"/>
  </w:style>
  <w:style w:type="paragraph" w:customStyle="1" w:styleId="EB8138DC4B134A2D8AEF9EEFA1215883">
    <w:name w:val="EB8138DC4B134A2D8AEF9EEFA1215883"/>
    <w:rsid w:val="00F25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439</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6</cp:revision>
  <cp:lastPrinted>2010-11-05T13:58:00Z</cp:lastPrinted>
  <dcterms:created xsi:type="dcterms:W3CDTF">2021-07-12T12:50:00Z</dcterms:created>
  <dcterms:modified xsi:type="dcterms:W3CDTF">2021-07-12T12:59:00Z</dcterms:modified>
</cp:coreProperties>
</file>