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3567" w:type="dxa"/>
        <w:tblInd w:w="575" w:type="dxa"/>
        <w:tblLayout w:type="fixed"/>
        <w:tblLook w:val="04A0" w:firstRow="1" w:lastRow="0" w:firstColumn="1" w:lastColumn="0" w:noHBand="0" w:noVBand="1"/>
      </w:tblPr>
      <w:tblGrid>
        <w:gridCol w:w="1809"/>
        <w:gridCol w:w="1134"/>
        <w:gridCol w:w="1418"/>
        <w:gridCol w:w="1276"/>
        <w:gridCol w:w="1417"/>
        <w:gridCol w:w="1843"/>
        <w:gridCol w:w="1559"/>
        <w:gridCol w:w="3111"/>
      </w:tblGrid>
      <w:tr w:rsidR="007B2475" w:rsidRPr="001A67C3" w14:paraId="75A7FC47" w14:textId="77777777" w:rsidTr="002D4791">
        <w:trPr>
          <w:trHeight w:val="1687"/>
          <w:tblHeader/>
        </w:trPr>
        <w:tc>
          <w:tcPr>
            <w:tcW w:w="1809" w:type="dxa"/>
            <w:shd w:val="clear" w:color="auto" w:fill="808080" w:themeFill="background1" w:themeFillShade="80"/>
          </w:tcPr>
          <w:p w14:paraId="75A7FC3E" w14:textId="77777777" w:rsidR="007B2475" w:rsidRPr="002D4791" w:rsidRDefault="007B2475" w:rsidP="001A67C3">
            <w:pPr>
              <w:overflowPunct w:val="0"/>
              <w:autoSpaceDE w:val="0"/>
              <w:autoSpaceDN w:val="0"/>
              <w:adjustRightInd w:val="0"/>
              <w:jc w:val="center"/>
              <w:textAlignment w:val="baseline"/>
              <w:rPr>
                <w:rFonts w:ascii="Arial" w:eastAsia="Times New Roman" w:hAnsi="Arial" w:cs="Arial"/>
                <w:b/>
                <w:sz w:val="16"/>
                <w:szCs w:val="16"/>
              </w:rPr>
            </w:pPr>
            <w:bookmarkStart w:id="0" w:name="_GoBack"/>
            <w:bookmarkEnd w:id="0"/>
            <w:r w:rsidRPr="002D4791">
              <w:rPr>
                <w:rFonts w:ascii="Arial" w:eastAsia="Times New Roman" w:hAnsi="Arial" w:cs="Arial"/>
                <w:b/>
                <w:sz w:val="16"/>
                <w:szCs w:val="16"/>
              </w:rPr>
              <w:t>Obligation visée</w:t>
            </w:r>
          </w:p>
        </w:tc>
        <w:tc>
          <w:tcPr>
            <w:tcW w:w="1134" w:type="dxa"/>
            <w:shd w:val="clear" w:color="auto" w:fill="808080" w:themeFill="background1" w:themeFillShade="80"/>
          </w:tcPr>
          <w:p w14:paraId="75A7FC3F" w14:textId="0DD96202" w:rsidR="007B2475" w:rsidRPr="002D4791" w:rsidRDefault="007B2475" w:rsidP="007B2475">
            <w:pPr>
              <w:overflowPunct w:val="0"/>
              <w:autoSpaceDE w:val="0"/>
              <w:autoSpaceDN w:val="0"/>
              <w:adjustRightInd w:val="0"/>
              <w:jc w:val="center"/>
              <w:textAlignment w:val="baseline"/>
              <w:rPr>
                <w:rFonts w:ascii="Arial" w:eastAsia="Times New Roman" w:hAnsi="Arial" w:cs="Arial"/>
                <w:b/>
                <w:sz w:val="16"/>
                <w:szCs w:val="16"/>
              </w:rPr>
            </w:pPr>
            <w:r w:rsidRPr="002D4791">
              <w:rPr>
                <w:rFonts w:ascii="Arial" w:eastAsia="Times New Roman" w:hAnsi="Arial" w:cs="Arial"/>
                <w:b/>
                <w:sz w:val="16"/>
                <w:szCs w:val="16"/>
              </w:rPr>
              <w:t xml:space="preserve">Intermédiaire en biens divers visé à l’article L.550-1 I 1° du code monétaire et financier </w:t>
            </w:r>
            <w:r w:rsidR="00D713A5" w:rsidRPr="002D4791">
              <w:rPr>
                <w:rFonts w:ascii="Arial" w:eastAsia="Times New Roman" w:hAnsi="Arial" w:cs="Arial"/>
                <w:b/>
                <w:sz w:val="16"/>
                <w:szCs w:val="16"/>
              </w:rPr>
              <w:t>autre</w:t>
            </w:r>
            <w:r w:rsidRPr="002D4791">
              <w:rPr>
                <w:rFonts w:ascii="Arial" w:eastAsia="Times New Roman" w:hAnsi="Arial" w:cs="Arial"/>
                <w:b/>
                <w:sz w:val="16"/>
                <w:szCs w:val="16"/>
              </w:rPr>
              <w:t xml:space="preserve"> que celui à l’initiative de l’opération </w:t>
            </w:r>
          </w:p>
        </w:tc>
        <w:tc>
          <w:tcPr>
            <w:tcW w:w="1418" w:type="dxa"/>
            <w:shd w:val="clear" w:color="auto" w:fill="808080" w:themeFill="background1" w:themeFillShade="80"/>
          </w:tcPr>
          <w:p w14:paraId="75A7FC40" w14:textId="6791934F" w:rsidR="007B2475" w:rsidRPr="002D4791" w:rsidRDefault="007B2475" w:rsidP="0025699B">
            <w:pPr>
              <w:overflowPunct w:val="0"/>
              <w:autoSpaceDE w:val="0"/>
              <w:autoSpaceDN w:val="0"/>
              <w:adjustRightInd w:val="0"/>
              <w:jc w:val="center"/>
              <w:textAlignment w:val="baseline"/>
              <w:rPr>
                <w:rFonts w:ascii="Arial" w:eastAsia="Times New Roman" w:hAnsi="Arial" w:cs="Arial"/>
                <w:b/>
                <w:sz w:val="16"/>
                <w:szCs w:val="16"/>
              </w:rPr>
            </w:pPr>
            <w:r w:rsidRPr="002D4791">
              <w:rPr>
                <w:rFonts w:ascii="Arial" w:eastAsia="Times New Roman" w:hAnsi="Arial" w:cs="Arial"/>
                <w:b/>
                <w:sz w:val="16"/>
                <w:szCs w:val="16"/>
              </w:rPr>
              <w:t xml:space="preserve">Intermédiaire en biens divers qui </w:t>
            </w:r>
            <w:proofErr w:type="gramStart"/>
            <w:r w:rsidRPr="002D4791">
              <w:rPr>
                <w:rFonts w:ascii="Arial" w:eastAsia="Times New Roman" w:hAnsi="Arial" w:cs="Arial"/>
                <w:b/>
                <w:sz w:val="16"/>
                <w:szCs w:val="16"/>
              </w:rPr>
              <w:t>prend</w:t>
            </w:r>
            <w:proofErr w:type="gramEnd"/>
            <w:r w:rsidRPr="002D4791">
              <w:rPr>
                <w:rFonts w:ascii="Arial" w:eastAsia="Times New Roman" w:hAnsi="Arial" w:cs="Arial"/>
                <w:b/>
                <w:sz w:val="16"/>
                <w:szCs w:val="16"/>
              </w:rPr>
              <w:t xml:space="preserve"> l’initiative de l’opération visé à l’article L.550-1 I 1° du code monétaire et financier</w:t>
            </w:r>
          </w:p>
        </w:tc>
        <w:tc>
          <w:tcPr>
            <w:tcW w:w="1276" w:type="dxa"/>
            <w:shd w:val="clear" w:color="auto" w:fill="808080" w:themeFill="background1" w:themeFillShade="80"/>
          </w:tcPr>
          <w:p w14:paraId="75A7FC41" w14:textId="56CD1A76" w:rsidR="007B2475" w:rsidRPr="002D4791" w:rsidRDefault="007B2475" w:rsidP="001A67C3">
            <w:pPr>
              <w:overflowPunct w:val="0"/>
              <w:autoSpaceDE w:val="0"/>
              <w:autoSpaceDN w:val="0"/>
              <w:adjustRightInd w:val="0"/>
              <w:jc w:val="center"/>
              <w:textAlignment w:val="baseline"/>
              <w:rPr>
                <w:rFonts w:ascii="Arial" w:eastAsia="Times New Roman" w:hAnsi="Arial" w:cs="Arial"/>
                <w:b/>
                <w:sz w:val="16"/>
                <w:szCs w:val="16"/>
              </w:rPr>
            </w:pPr>
            <w:r w:rsidRPr="002D4791">
              <w:rPr>
                <w:rFonts w:ascii="Arial" w:eastAsia="Times New Roman" w:hAnsi="Arial" w:cs="Arial"/>
                <w:b/>
                <w:sz w:val="16"/>
                <w:szCs w:val="16"/>
              </w:rPr>
              <w:t>Intermédiaire en biens divers visé à l’article L. 550-1 I 2° du code monétaire et financier</w:t>
            </w:r>
          </w:p>
        </w:tc>
        <w:tc>
          <w:tcPr>
            <w:tcW w:w="1417" w:type="dxa"/>
            <w:shd w:val="clear" w:color="auto" w:fill="808080" w:themeFill="background1" w:themeFillShade="80"/>
          </w:tcPr>
          <w:p w14:paraId="75A7FC42" w14:textId="157CF5C4" w:rsidR="007B2475" w:rsidRPr="002D4791" w:rsidRDefault="007B2475" w:rsidP="001A67C3">
            <w:pPr>
              <w:overflowPunct w:val="0"/>
              <w:autoSpaceDE w:val="0"/>
              <w:autoSpaceDN w:val="0"/>
              <w:adjustRightInd w:val="0"/>
              <w:jc w:val="center"/>
              <w:textAlignment w:val="baseline"/>
              <w:rPr>
                <w:rFonts w:ascii="Arial" w:eastAsia="Times New Roman" w:hAnsi="Arial" w:cs="Arial"/>
                <w:b/>
                <w:sz w:val="16"/>
                <w:szCs w:val="16"/>
              </w:rPr>
            </w:pPr>
            <w:r w:rsidRPr="002D4791">
              <w:rPr>
                <w:rFonts w:ascii="Arial" w:eastAsia="Times New Roman" w:hAnsi="Arial" w:cs="Arial"/>
                <w:b/>
                <w:sz w:val="16"/>
                <w:szCs w:val="16"/>
              </w:rPr>
              <w:t>Intermédiaire en biens divers visé à l’article L. 550- 1 I 3° du code monétaire et financier</w:t>
            </w:r>
          </w:p>
        </w:tc>
        <w:tc>
          <w:tcPr>
            <w:tcW w:w="1843" w:type="dxa"/>
            <w:shd w:val="clear" w:color="auto" w:fill="808080" w:themeFill="background1" w:themeFillShade="80"/>
          </w:tcPr>
          <w:p w14:paraId="75A7FC43" w14:textId="75ED0BF5" w:rsidR="007B2475" w:rsidRPr="002D4791" w:rsidRDefault="007B2475" w:rsidP="001A67C3">
            <w:pPr>
              <w:overflowPunct w:val="0"/>
              <w:autoSpaceDE w:val="0"/>
              <w:autoSpaceDN w:val="0"/>
              <w:adjustRightInd w:val="0"/>
              <w:jc w:val="center"/>
              <w:textAlignment w:val="baseline"/>
              <w:rPr>
                <w:rFonts w:ascii="Arial" w:eastAsia="Times New Roman" w:hAnsi="Arial" w:cs="Arial"/>
                <w:b/>
                <w:sz w:val="16"/>
                <w:szCs w:val="16"/>
              </w:rPr>
            </w:pPr>
            <w:r w:rsidRPr="002D4791">
              <w:rPr>
                <w:rFonts w:ascii="Arial" w:eastAsia="Times New Roman" w:hAnsi="Arial" w:cs="Arial"/>
                <w:b/>
                <w:sz w:val="16"/>
                <w:szCs w:val="16"/>
              </w:rPr>
              <w:t xml:space="preserve">Intermédiaire en biens divers qui </w:t>
            </w:r>
            <w:proofErr w:type="gramStart"/>
            <w:r w:rsidRPr="002D4791">
              <w:rPr>
                <w:rFonts w:ascii="Arial" w:eastAsia="Times New Roman" w:hAnsi="Arial" w:cs="Arial"/>
                <w:b/>
                <w:sz w:val="16"/>
                <w:szCs w:val="16"/>
              </w:rPr>
              <w:t>prend</w:t>
            </w:r>
            <w:proofErr w:type="gramEnd"/>
            <w:r w:rsidRPr="002D4791">
              <w:rPr>
                <w:rFonts w:ascii="Arial" w:eastAsia="Times New Roman" w:hAnsi="Arial" w:cs="Arial"/>
                <w:b/>
                <w:sz w:val="16"/>
                <w:szCs w:val="16"/>
              </w:rPr>
              <w:t xml:space="preserve"> l’initiative de l’opération visé à l’article L. 550-1 II du code monétaire et financier</w:t>
            </w:r>
          </w:p>
        </w:tc>
        <w:tc>
          <w:tcPr>
            <w:tcW w:w="1559" w:type="dxa"/>
            <w:shd w:val="clear" w:color="auto" w:fill="808080" w:themeFill="background1" w:themeFillShade="80"/>
          </w:tcPr>
          <w:p w14:paraId="75A7FC44" w14:textId="21F0B935" w:rsidR="007B2475" w:rsidRPr="002D4791" w:rsidRDefault="007B2475" w:rsidP="001A67C3">
            <w:pPr>
              <w:overflowPunct w:val="0"/>
              <w:autoSpaceDE w:val="0"/>
              <w:autoSpaceDN w:val="0"/>
              <w:adjustRightInd w:val="0"/>
              <w:jc w:val="center"/>
              <w:textAlignment w:val="baseline"/>
              <w:rPr>
                <w:rFonts w:ascii="Arial" w:eastAsia="Times New Roman" w:hAnsi="Arial" w:cs="Arial"/>
                <w:b/>
                <w:sz w:val="16"/>
                <w:szCs w:val="16"/>
              </w:rPr>
            </w:pPr>
            <w:r w:rsidRPr="002D4791">
              <w:rPr>
                <w:rFonts w:ascii="Arial" w:eastAsia="Times New Roman" w:hAnsi="Arial" w:cs="Arial"/>
                <w:b/>
                <w:sz w:val="16"/>
                <w:szCs w:val="16"/>
              </w:rPr>
              <w:t>Intermédiaires en biens divers visé à l’article L.550-1 II du code monétaire et financier autre que celui à l’initiative de l’opération</w:t>
            </w:r>
          </w:p>
        </w:tc>
        <w:tc>
          <w:tcPr>
            <w:tcW w:w="3111" w:type="dxa"/>
            <w:shd w:val="clear" w:color="auto" w:fill="808080" w:themeFill="background1" w:themeFillShade="80"/>
          </w:tcPr>
          <w:p w14:paraId="75A7FC45" w14:textId="77777777" w:rsidR="007B2475" w:rsidRPr="002D4791" w:rsidRDefault="007B2475" w:rsidP="001A67C3">
            <w:pPr>
              <w:overflowPunct w:val="0"/>
              <w:autoSpaceDE w:val="0"/>
              <w:autoSpaceDN w:val="0"/>
              <w:adjustRightInd w:val="0"/>
              <w:jc w:val="center"/>
              <w:textAlignment w:val="baseline"/>
              <w:rPr>
                <w:rFonts w:ascii="Arial" w:eastAsia="Times New Roman" w:hAnsi="Arial" w:cs="Arial"/>
                <w:b/>
                <w:sz w:val="16"/>
                <w:szCs w:val="16"/>
              </w:rPr>
            </w:pPr>
            <w:r w:rsidRPr="002D4791">
              <w:rPr>
                <w:rFonts w:ascii="Arial" w:eastAsia="Times New Roman" w:hAnsi="Arial" w:cs="Arial"/>
                <w:b/>
                <w:sz w:val="16"/>
                <w:szCs w:val="16"/>
              </w:rPr>
              <w:t>Personne en charge de collecter les informations et de les transmettre à l’AMF</w:t>
            </w:r>
            <w:r w:rsidRPr="002D4791">
              <w:rPr>
                <w:rStyle w:val="Appelnotedebasdep"/>
                <w:rFonts w:ascii="Arial" w:eastAsia="Times New Roman" w:hAnsi="Arial" w:cs="Arial"/>
                <w:b/>
                <w:sz w:val="16"/>
                <w:szCs w:val="16"/>
              </w:rPr>
              <w:footnoteReference w:id="1"/>
            </w:r>
          </w:p>
        </w:tc>
      </w:tr>
      <w:tr w:rsidR="007B2475" w:rsidRPr="001A67C3" w14:paraId="75A7FC52" w14:textId="77777777" w:rsidTr="00A72C21">
        <w:tc>
          <w:tcPr>
            <w:tcW w:w="1809" w:type="dxa"/>
            <w:shd w:val="clear" w:color="auto" w:fill="808080" w:themeFill="background1" w:themeFillShade="80"/>
          </w:tcPr>
          <w:p w14:paraId="75A7FC48"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sidRPr="002447F0">
              <w:rPr>
                <w:rFonts w:ascii="Arial" w:eastAsia="Times New Roman" w:hAnsi="Arial" w:cs="Arial"/>
                <w:b/>
                <w:sz w:val="16"/>
                <w:szCs w:val="16"/>
              </w:rPr>
              <w:t xml:space="preserve">Article 441-1 du règlement général de l’AMF : </w:t>
            </w:r>
          </w:p>
          <w:p w14:paraId="75A7FC49"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p>
        </w:tc>
        <w:tc>
          <w:tcPr>
            <w:tcW w:w="1134" w:type="dxa"/>
            <w:shd w:val="clear" w:color="auto" w:fill="808080" w:themeFill="background1" w:themeFillShade="80"/>
          </w:tcPr>
          <w:p w14:paraId="75A7FC4A"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418" w:type="dxa"/>
            <w:shd w:val="clear" w:color="auto" w:fill="808080" w:themeFill="background1" w:themeFillShade="80"/>
          </w:tcPr>
          <w:p w14:paraId="75A7FC4B"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276" w:type="dxa"/>
            <w:shd w:val="clear" w:color="auto" w:fill="808080" w:themeFill="background1" w:themeFillShade="80"/>
          </w:tcPr>
          <w:p w14:paraId="75A7FC4C"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417" w:type="dxa"/>
            <w:shd w:val="clear" w:color="auto" w:fill="808080" w:themeFill="background1" w:themeFillShade="80"/>
          </w:tcPr>
          <w:p w14:paraId="75A7FC4D"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843" w:type="dxa"/>
            <w:shd w:val="clear" w:color="auto" w:fill="808080" w:themeFill="background1" w:themeFillShade="80"/>
          </w:tcPr>
          <w:p w14:paraId="75A7FC4E"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559" w:type="dxa"/>
            <w:shd w:val="clear" w:color="auto" w:fill="808080" w:themeFill="background1" w:themeFillShade="80"/>
          </w:tcPr>
          <w:p w14:paraId="75A7FC4F"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3111" w:type="dxa"/>
            <w:shd w:val="clear" w:color="auto" w:fill="808080" w:themeFill="background1" w:themeFillShade="80"/>
          </w:tcPr>
          <w:p w14:paraId="75A7FC50"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r>
      <w:tr w:rsidR="007B2475" w:rsidRPr="001A67C3" w14:paraId="75A7FC64" w14:textId="77777777" w:rsidTr="00A72C21">
        <w:tc>
          <w:tcPr>
            <w:tcW w:w="1809" w:type="dxa"/>
          </w:tcPr>
          <w:p w14:paraId="75A7FC53"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sidRPr="002447F0">
              <w:rPr>
                <w:rFonts w:ascii="Arial" w:eastAsia="Times New Roman" w:hAnsi="Arial" w:cs="Arial"/>
                <w:b/>
                <w:sz w:val="16"/>
                <w:szCs w:val="16"/>
              </w:rPr>
              <w:t>Règles d’organisation, d’honorabilité, de compétence et d’expérience…</w:t>
            </w:r>
          </w:p>
        </w:tc>
        <w:tc>
          <w:tcPr>
            <w:tcW w:w="1134" w:type="dxa"/>
          </w:tcPr>
          <w:p w14:paraId="75A7FC54"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418" w:type="dxa"/>
          </w:tcPr>
          <w:p w14:paraId="75A7FC55"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276" w:type="dxa"/>
          </w:tcPr>
          <w:p w14:paraId="75A7FC56"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417" w:type="dxa"/>
          </w:tcPr>
          <w:p w14:paraId="75A7FC57"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843" w:type="dxa"/>
          </w:tcPr>
          <w:p w14:paraId="75A7FC58"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559" w:type="dxa"/>
          </w:tcPr>
          <w:p w14:paraId="75A7FC59"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3111" w:type="dxa"/>
          </w:tcPr>
          <w:p w14:paraId="75A7FC5A" w14:textId="2AFDDBD4"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 xml:space="preserve">L’intermédiaire visé au I 1° et au II de l’article L. 550-1 du </w:t>
            </w:r>
            <w:r>
              <w:rPr>
                <w:rFonts w:ascii="Arial" w:eastAsia="Times New Roman" w:hAnsi="Arial" w:cs="Arial"/>
                <w:sz w:val="16"/>
                <w:szCs w:val="16"/>
              </w:rPr>
              <w:t>code monétaire et financier</w:t>
            </w:r>
            <w:r w:rsidRPr="001A67C3" w:rsidDel="0025699B">
              <w:rPr>
                <w:rFonts w:ascii="Arial" w:eastAsia="Times New Roman" w:hAnsi="Arial" w:cs="Arial"/>
                <w:sz w:val="16"/>
                <w:szCs w:val="16"/>
              </w:rPr>
              <w:t xml:space="preserve"> </w:t>
            </w:r>
            <w:r w:rsidRPr="001A67C3">
              <w:rPr>
                <w:rFonts w:ascii="Arial" w:eastAsia="Times New Roman" w:hAnsi="Arial" w:cs="Arial"/>
                <w:sz w:val="16"/>
                <w:szCs w:val="16"/>
              </w:rPr>
              <w:t>qui prend l’initiative de l’opération</w:t>
            </w:r>
          </w:p>
        </w:tc>
      </w:tr>
      <w:tr w:rsidR="007B2475" w:rsidRPr="001A67C3" w14:paraId="75A7FC75" w14:textId="77777777" w:rsidTr="00A72C21">
        <w:tc>
          <w:tcPr>
            <w:tcW w:w="1809" w:type="dxa"/>
          </w:tcPr>
          <w:p w14:paraId="75A7FC65"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sidRPr="002447F0">
              <w:rPr>
                <w:rFonts w:ascii="Arial" w:eastAsia="Times New Roman" w:hAnsi="Arial" w:cs="Arial"/>
                <w:b/>
                <w:sz w:val="16"/>
                <w:szCs w:val="16"/>
              </w:rPr>
              <w:t xml:space="preserve">Prévention des conflits d’intérêts </w:t>
            </w:r>
          </w:p>
        </w:tc>
        <w:tc>
          <w:tcPr>
            <w:tcW w:w="1134" w:type="dxa"/>
          </w:tcPr>
          <w:p w14:paraId="75A7FC66"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418" w:type="dxa"/>
          </w:tcPr>
          <w:p w14:paraId="75A7FC67"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276" w:type="dxa"/>
          </w:tcPr>
          <w:p w14:paraId="75A7FC68"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417" w:type="dxa"/>
          </w:tcPr>
          <w:p w14:paraId="75A7FC69"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843" w:type="dxa"/>
          </w:tcPr>
          <w:p w14:paraId="75A7FC6A"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559" w:type="dxa"/>
          </w:tcPr>
          <w:p w14:paraId="75A7FC6B"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3111" w:type="dxa"/>
          </w:tcPr>
          <w:p w14:paraId="75A7FC6C" w14:textId="67E728FB"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 xml:space="preserve">L’intermédiaire visé au I 1° et au II de l’article L. 550-1 du </w:t>
            </w:r>
            <w:r>
              <w:rPr>
                <w:rFonts w:ascii="Arial" w:eastAsia="Times New Roman" w:hAnsi="Arial" w:cs="Arial"/>
                <w:sz w:val="16"/>
                <w:szCs w:val="16"/>
              </w:rPr>
              <w:t>code monétaire et financier</w:t>
            </w:r>
            <w:r w:rsidRPr="001A67C3" w:rsidDel="0025699B">
              <w:rPr>
                <w:rFonts w:ascii="Arial" w:eastAsia="Times New Roman" w:hAnsi="Arial" w:cs="Arial"/>
                <w:sz w:val="16"/>
                <w:szCs w:val="16"/>
              </w:rPr>
              <w:t xml:space="preserve"> </w:t>
            </w:r>
            <w:r w:rsidRPr="001A67C3">
              <w:rPr>
                <w:rFonts w:ascii="Arial" w:eastAsia="Times New Roman" w:hAnsi="Arial" w:cs="Arial"/>
                <w:sz w:val="16"/>
                <w:szCs w:val="16"/>
              </w:rPr>
              <w:t>qui prend l’initiative de l’opération</w:t>
            </w:r>
          </w:p>
        </w:tc>
      </w:tr>
      <w:tr w:rsidR="007B2475" w:rsidRPr="001A67C3" w14:paraId="75A7FC85" w14:textId="77777777" w:rsidTr="00A72C21">
        <w:tc>
          <w:tcPr>
            <w:tcW w:w="1809" w:type="dxa"/>
          </w:tcPr>
          <w:p w14:paraId="75A7FC76"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sidRPr="002447F0">
              <w:rPr>
                <w:rFonts w:ascii="Arial" w:eastAsia="Times New Roman" w:hAnsi="Arial" w:cs="Arial"/>
                <w:b/>
                <w:sz w:val="16"/>
                <w:szCs w:val="16"/>
              </w:rPr>
              <w:t xml:space="preserve">Souscription d’une assurance de responsabilité civile professionnelle </w:t>
            </w:r>
          </w:p>
        </w:tc>
        <w:tc>
          <w:tcPr>
            <w:tcW w:w="1134" w:type="dxa"/>
          </w:tcPr>
          <w:p w14:paraId="75A7FC77"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418" w:type="dxa"/>
          </w:tcPr>
          <w:p w14:paraId="75A7FC78"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276" w:type="dxa"/>
          </w:tcPr>
          <w:p w14:paraId="75A7FC79"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417" w:type="dxa"/>
          </w:tcPr>
          <w:p w14:paraId="75A7FC7A"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843" w:type="dxa"/>
          </w:tcPr>
          <w:p w14:paraId="75A7FC7B"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559" w:type="dxa"/>
          </w:tcPr>
          <w:p w14:paraId="75A7FC7C"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3111" w:type="dxa"/>
          </w:tcPr>
          <w:p w14:paraId="75A7FC7D" w14:textId="2A1C24A3"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 xml:space="preserve">L’intermédiaire visé au I 1° et au II de l’article L. 550-1 du </w:t>
            </w:r>
            <w:r>
              <w:rPr>
                <w:rFonts w:ascii="Arial" w:eastAsia="Times New Roman" w:hAnsi="Arial" w:cs="Arial"/>
                <w:sz w:val="16"/>
                <w:szCs w:val="16"/>
              </w:rPr>
              <w:t>code monétaire et financier</w:t>
            </w:r>
            <w:r w:rsidRPr="001A67C3" w:rsidDel="0025699B">
              <w:rPr>
                <w:rFonts w:ascii="Arial" w:eastAsia="Times New Roman" w:hAnsi="Arial" w:cs="Arial"/>
                <w:sz w:val="16"/>
                <w:szCs w:val="16"/>
              </w:rPr>
              <w:t xml:space="preserve"> </w:t>
            </w:r>
            <w:r w:rsidRPr="001A67C3">
              <w:rPr>
                <w:rFonts w:ascii="Arial" w:eastAsia="Times New Roman" w:hAnsi="Arial" w:cs="Arial"/>
                <w:sz w:val="16"/>
                <w:szCs w:val="16"/>
              </w:rPr>
              <w:t>qui prend l’initiative de l’opération</w:t>
            </w:r>
          </w:p>
        </w:tc>
      </w:tr>
      <w:tr w:rsidR="007B2475" w:rsidRPr="001A67C3" w14:paraId="75A7FC8F" w14:textId="77777777" w:rsidTr="00A72C21">
        <w:tc>
          <w:tcPr>
            <w:tcW w:w="1809" w:type="dxa"/>
            <w:shd w:val="clear" w:color="auto" w:fill="808080" w:themeFill="background1" w:themeFillShade="80"/>
          </w:tcPr>
          <w:p w14:paraId="75A7FC86"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sidRPr="002447F0">
              <w:rPr>
                <w:rFonts w:ascii="Arial" w:eastAsia="Times New Roman" w:hAnsi="Arial" w:cs="Arial"/>
                <w:b/>
                <w:sz w:val="16"/>
                <w:szCs w:val="16"/>
              </w:rPr>
              <w:t>Article 441-2 I du règlement général de l’AMF</w:t>
            </w:r>
          </w:p>
        </w:tc>
        <w:tc>
          <w:tcPr>
            <w:tcW w:w="1134" w:type="dxa"/>
            <w:shd w:val="clear" w:color="auto" w:fill="808080" w:themeFill="background1" w:themeFillShade="80"/>
          </w:tcPr>
          <w:p w14:paraId="75A7FC87"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418" w:type="dxa"/>
            <w:shd w:val="clear" w:color="auto" w:fill="808080" w:themeFill="background1" w:themeFillShade="80"/>
          </w:tcPr>
          <w:p w14:paraId="75A7FC88"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276" w:type="dxa"/>
            <w:shd w:val="clear" w:color="auto" w:fill="808080" w:themeFill="background1" w:themeFillShade="80"/>
          </w:tcPr>
          <w:p w14:paraId="75A7FC89"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417" w:type="dxa"/>
            <w:shd w:val="clear" w:color="auto" w:fill="808080" w:themeFill="background1" w:themeFillShade="80"/>
          </w:tcPr>
          <w:p w14:paraId="75A7FC8A"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843" w:type="dxa"/>
            <w:shd w:val="clear" w:color="auto" w:fill="808080" w:themeFill="background1" w:themeFillShade="80"/>
          </w:tcPr>
          <w:p w14:paraId="75A7FC8B"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559" w:type="dxa"/>
            <w:shd w:val="clear" w:color="auto" w:fill="808080" w:themeFill="background1" w:themeFillShade="80"/>
          </w:tcPr>
          <w:p w14:paraId="75A7FC8C"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3111" w:type="dxa"/>
            <w:shd w:val="clear" w:color="auto" w:fill="808080" w:themeFill="background1" w:themeFillShade="80"/>
          </w:tcPr>
          <w:p w14:paraId="75A7FC8D"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r>
      <w:tr w:rsidR="007B2475" w:rsidRPr="001A67C3" w14:paraId="75A7FCA0" w14:textId="77777777" w:rsidTr="00A72C21">
        <w:tc>
          <w:tcPr>
            <w:tcW w:w="1809" w:type="dxa"/>
          </w:tcPr>
          <w:p w14:paraId="75A7FC90"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sidRPr="002447F0">
              <w:rPr>
                <w:rFonts w:ascii="Arial" w:eastAsia="Times New Roman" w:hAnsi="Arial" w:cs="Arial"/>
                <w:b/>
                <w:sz w:val="16"/>
                <w:szCs w:val="16"/>
              </w:rPr>
              <w:t xml:space="preserve">1° Ouverture du compte unique dédié à l’opération </w:t>
            </w:r>
          </w:p>
        </w:tc>
        <w:tc>
          <w:tcPr>
            <w:tcW w:w="1134" w:type="dxa"/>
          </w:tcPr>
          <w:p w14:paraId="75A7FC91"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418" w:type="dxa"/>
          </w:tcPr>
          <w:p w14:paraId="75A7FC92"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276" w:type="dxa"/>
          </w:tcPr>
          <w:p w14:paraId="75A7FC93"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417" w:type="dxa"/>
          </w:tcPr>
          <w:p w14:paraId="75A7FC94"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843" w:type="dxa"/>
          </w:tcPr>
          <w:p w14:paraId="75A7FC95"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559" w:type="dxa"/>
          </w:tcPr>
          <w:p w14:paraId="75A7FC96"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3111" w:type="dxa"/>
          </w:tcPr>
          <w:p w14:paraId="75A7FC97" w14:textId="14B659EF"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 xml:space="preserve">L’intermédiaire visé au I 1° et au II de l’article L.550-1 du </w:t>
            </w:r>
            <w:r>
              <w:rPr>
                <w:rFonts w:ascii="Arial" w:eastAsia="Times New Roman" w:hAnsi="Arial" w:cs="Arial"/>
                <w:sz w:val="16"/>
                <w:szCs w:val="16"/>
              </w:rPr>
              <w:t>code monétaire et financier</w:t>
            </w:r>
            <w:r w:rsidRPr="001A67C3" w:rsidDel="0025699B">
              <w:rPr>
                <w:rFonts w:ascii="Arial" w:eastAsia="Times New Roman" w:hAnsi="Arial" w:cs="Arial"/>
                <w:sz w:val="16"/>
                <w:szCs w:val="16"/>
              </w:rPr>
              <w:t xml:space="preserve"> </w:t>
            </w:r>
            <w:r w:rsidRPr="001A67C3">
              <w:rPr>
                <w:rFonts w:ascii="Arial" w:eastAsia="Times New Roman" w:hAnsi="Arial" w:cs="Arial"/>
                <w:sz w:val="16"/>
                <w:szCs w:val="16"/>
              </w:rPr>
              <w:t xml:space="preserve">qui prend l’initiative de l’opération </w:t>
            </w:r>
          </w:p>
        </w:tc>
      </w:tr>
      <w:tr w:rsidR="007B2475" w:rsidRPr="001A67C3" w14:paraId="75A7FCB1" w14:textId="77777777" w:rsidTr="00A72C21">
        <w:tc>
          <w:tcPr>
            <w:tcW w:w="1809" w:type="dxa"/>
          </w:tcPr>
          <w:p w14:paraId="75A7FCA1"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sidRPr="002447F0">
              <w:rPr>
                <w:rFonts w:ascii="Arial" w:eastAsia="Times New Roman" w:hAnsi="Arial" w:cs="Arial"/>
                <w:b/>
                <w:sz w:val="16"/>
                <w:szCs w:val="16"/>
              </w:rPr>
              <w:t>2° Justification de la souscription d’une assurance des biens remis en contrepartie d’une rente viagère</w:t>
            </w:r>
          </w:p>
        </w:tc>
        <w:tc>
          <w:tcPr>
            <w:tcW w:w="1134" w:type="dxa"/>
          </w:tcPr>
          <w:p w14:paraId="75A7FCA2"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418" w:type="dxa"/>
          </w:tcPr>
          <w:p w14:paraId="75A7FCA3"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276" w:type="dxa"/>
          </w:tcPr>
          <w:p w14:paraId="75A7FCA4"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417" w:type="dxa"/>
          </w:tcPr>
          <w:p w14:paraId="75A7FCA5"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843" w:type="dxa"/>
          </w:tcPr>
          <w:p w14:paraId="75A7FCA6"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559" w:type="dxa"/>
          </w:tcPr>
          <w:p w14:paraId="75A7FCA7"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3111" w:type="dxa"/>
          </w:tcPr>
          <w:p w14:paraId="0AC2577C" w14:textId="77777777" w:rsidR="007B2475"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 xml:space="preserve">L’intermédiaire visé au I 1° de l’article L. 550-1 du </w:t>
            </w:r>
            <w:r>
              <w:rPr>
                <w:rFonts w:ascii="Arial" w:eastAsia="Times New Roman" w:hAnsi="Arial" w:cs="Arial"/>
                <w:sz w:val="16"/>
                <w:szCs w:val="16"/>
              </w:rPr>
              <w:t>code monétaire et financier</w:t>
            </w:r>
            <w:r w:rsidRPr="001A67C3" w:rsidDel="0025699B">
              <w:rPr>
                <w:rFonts w:ascii="Arial" w:eastAsia="Times New Roman" w:hAnsi="Arial" w:cs="Arial"/>
                <w:sz w:val="16"/>
                <w:szCs w:val="16"/>
              </w:rPr>
              <w:t xml:space="preserve"> </w:t>
            </w:r>
            <w:r w:rsidRPr="001A67C3">
              <w:rPr>
                <w:rFonts w:ascii="Arial" w:eastAsia="Times New Roman" w:hAnsi="Arial" w:cs="Arial"/>
                <w:sz w:val="16"/>
                <w:szCs w:val="16"/>
              </w:rPr>
              <w:t xml:space="preserve">qui prend l’initiative de l’opération </w:t>
            </w:r>
          </w:p>
          <w:p w14:paraId="5CA2DAC1" w14:textId="77777777" w:rsidR="002D4791" w:rsidRDefault="002D4791" w:rsidP="00652BFD">
            <w:pPr>
              <w:overflowPunct w:val="0"/>
              <w:autoSpaceDE w:val="0"/>
              <w:autoSpaceDN w:val="0"/>
              <w:adjustRightInd w:val="0"/>
              <w:textAlignment w:val="baseline"/>
              <w:rPr>
                <w:rFonts w:ascii="Arial" w:eastAsia="Times New Roman" w:hAnsi="Arial" w:cs="Arial"/>
                <w:sz w:val="16"/>
                <w:szCs w:val="16"/>
              </w:rPr>
            </w:pPr>
          </w:p>
          <w:p w14:paraId="6EAF0C7B" w14:textId="77777777" w:rsidR="002D4791" w:rsidRDefault="002D4791" w:rsidP="00652BFD">
            <w:pPr>
              <w:overflowPunct w:val="0"/>
              <w:autoSpaceDE w:val="0"/>
              <w:autoSpaceDN w:val="0"/>
              <w:adjustRightInd w:val="0"/>
              <w:textAlignment w:val="baseline"/>
              <w:rPr>
                <w:rFonts w:ascii="Arial" w:eastAsia="Times New Roman" w:hAnsi="Arial" w:cs="Arial"/>
                <w:sz w:val="16"/>
                <w:szCs w:val="16"/>
              </w:rPr>
            </w:pPr>
          </w:p>
          <w:p w14:paraId="4C7EB9E0" w14:textId="77777777" w:rsidR="002D4791" w:rsidRDefault="002D4791" w:rsidP="00652BFD">
            <w:pPr>
              <w:overflowPunct w:val="0"/>
              <w:autoSpaceDE w:val="0"/>
              <w:autoSpaceDN w:val="0"/>
              <w:adjustRightInd w:val="0"/>
              <w:textAlignment w:val="baseline"/>
              <w:rPr>
                <w:rFonts w:ascii="Arial" w:eastAsia="Times New Roman" w:hAnsi="Arial" w:cs="Arial"/>
                <w:sz w:val="16"/>
                <w:szCs w:val="16"/>
              </w:rPr>
            </w:pPr>
          </w:p>
          <w:p w14:paraId="34ADB57F" w14:textId="77777777" w:rsidR="002D4791" w:rsidRDefault="002D4791" w:rsidP="00652BFD">
            <w:pPr>
              <w:overflowPunct w:val="0"/>
              <w:autoSpaceDE w:val="0"/>
              <w:autoSpaceDN w:val="0"/>
              <w:adjustRightInd w:val="0"/>
              <w:textAlignment w:val="baseline"/>
              <w:rPr>
                <w:rFonts w:ascii="Arial" w:eastAsia="Times New Roman" w:hAnsi="Arial" w:cs="Arial"/>
                <w:sz w:val="16"/>
                <w:szCs w:val="16"/>
              </w:rPr>
            </w:pPr>
          </w:p>
          <w:p w14:paraId="75A7FCA8" w14:textId="32A4DBB3" w:rsidR="002D4791" w:rsidRPr="001A67C3" w:rsidRDefault="002D4791" w:rsidP="00652BFD">
            <w:pPr>
              <w:overflowPunct w:val="0"/>
              <w:autoSpaceDE w:val="0"/>
              <w:autoSpaceDN w:val="0"/>
              <w:adjustRightInd w:val="0"/>
              <w:textAlignment w:val="baseline"/>
              <w:rPr>
                <w:rFonts w:ascii="Arial" w:eastAsia="Times New Roman" w:hAnsi="Arial" w:cs="Arial"/>
                <w:sz w:val="16"/>
                <w:szCs w:val="16"/>
              </w:rPr>
            </w:pPr>
          </w:p>
        </w:tc>
      </w:tr>
      <w:tr w:rsidR="007B2475" w:rsidRPr="001A67C3" w14:paraId="75A7FCC2" w14:textId="77777777" w:rsidTr="00A72C21">
        <w:tc>
          <w:tcPr>
            <w:tcW w:w="1809" w:type="dxa"/>
          </w:tcPr>
          <w:p w14:paraId="75A7FCB2" w14:textId="77777777" w:rsidR="007B2475" w:rsidRPr="002447F0" w:rsidRDefault="007B2475" w:rsidP="00C07FAA">
            <w:pPr>
              <w:overflowPunct w:val="0"/>
              <w:autoSpaceDE w:val="0"/>
              <w:autoSpaceDN w:val="0"/>
              <w:adjustRightInd w:val="0"/>
              <w:textAlignment w:val="baseline"/>
              <w:rPr>
                <w:rFonts w:ascii="Arial" w:eastAsia="Times New Roman" w:hAnsi="Arial" w:cs="Arial"/>
                <w:b/>
                <w:sz w:val="16"/>
                <w:szCs w:val="16"/>
              </w:rPr>
            </w:pPr>
            <w:r w:rsidRPr="002447F0">
              <w:rPr>
                <w:rFonts w:ascii="Arial" w:eastAsia="Times New Roman" w:hAnsi="Arial" w:cs="Arial"/>
                <w:b/>
                <w:sz w:val="16"/>
                <w:szCs w:val="16"/>
              </w:rPr>
              <w:lastRenderedPageBreak/>
              <w:t>3° La valorisation des droits à percevoir la rente viagère, les biens ou les droits sur les biens au moment des souscriptions</w:t>
            </w:r>
          </w:p>
        </w:tc>
        <w:tc>
          <w:tcPr>
            <w:tcW w:w="1134" w:type="dxa"/>
          </w:tcPr>
          <w:p w14:paraId="75A7FCB3"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418" w:type="dxa"/>
          </w:tcPr>
          <w:p w14:paraId="75A7FCB4"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276" w:type="dxa"/>
          </w:tcPr>
          <w:p w14:paraId="75A7FCB5"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417" w:type="dxa"/>
          </w:tcPr>
          <w:p w14:paraId="75A7FCB6"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843" w:type="dxa"/>
          </w:tcPr>
          <w:p w14:paraId="75A7FCB7"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559" w:type="dxa"/>
          </w:tcPr>
          <w:p w14:paraId="75A7FCB8"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3111" w:type="dxa"/>
          </w:tcPr>
          <w:p w14:paraId="75A7FCB9" w14:textId="798D2C81"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 xml:space="preserve">L’intermédiaire visé au I 1° et au II de l’article L.550-1 du </w:t>
            </w:r>
            <w:r>
              <w:rPr>
                <w:rFonts w:ascii="Arial" w:eastAsia="Times New Roman" w:hAnsi="Arial" w:cs="Arial"/>
                <w:sz w:val="16"/>
                <w:szCs w:val="16"/>
              </w:rPr>
              <w:t>code monétaire et financier</w:t>
            </w:r>
            <w:r w:rsidRPr="001A67C3" w:rsidDel="0025699B">
              <w:rPr>
                <w:rFonts w:ascii="Arial" w:eastAsia="Times New Roman" w:hAnsi="Arial" w:cs="Arial"/>
                <w:sz w:val="16"/>
                <w:szCs w:val="16"/>
              </w:rPr>
              <w:t xml:space="preserve"> </w:t>
            </w:r>
            <w:r w:rsidRPr="001A67C3">
              <w:rPr>
                <w:rFonts w:ascii="Arial" w:eastAsia="Times New Roman" w:hAnsi="Arial" w:cs="Arial"/>
                <w:sz w:val="16"/>
                <w:szCs w:val="16"/>
              </w:rPr>
              <w:t xml:space="preserve">qui prend l’initiative de l’opération </w:t>
            </w:r>
          </w:p>
        </w:tc>
      </w:tr>
      <w:tr w:rsidR="007B2475" w:rsidRPr="001A67C3" w14:paraId="75A7FCD3" w14:textId="77777777" w:rsidTr="00A72C21">
        <w:tc>
          <w:tcPr>
            <w:tcW w:w="1809" w:type="dxa"/>
          </w:tcPr>
          <w:p w14:paraId="75A7FCC3"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sidRPr="002447F0">
              <w:rPr>
                <w:rFonts w:ascii="Arial" w:eastAsia="Times New Roman" w:hAnsi="Arial" w:cs="Arial"/>
                <w:b/>
                <w:sz w:val="16"/>
                <w:szCs w:val="16"/>
              </w:rPr>
              <w:t>4° Mise en place d’une procédure permettant de déterminer un profil type d’investisseurs adapté au risque afférent au placement en biens divers</w:t>
            </w:r>
          </w:p>
        </w:tc>
        <w:tc>
          <w:tcPr>
            <w:tcW w:w="1134" w:type="dxa"/>
          </w:tcPr>
          <w:p w14:paraId="75A7FCC4"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418" w:type="dxa"/>
          </w:tcPr>
          <w:p w14:paraId="75A7FCC5"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276" w:type="dxa"/>
          </w:tcPr>
          <w:p w14:paraId="75A7FCC6"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417" w:type="dxa"/>
          </w:tcPr>
          <w:p w14:paraId="75A7FCC7"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 xml:space="preserve">NON </w:t>
            </w:r>
          </w:p>
        </w:tc>
        <w:tc>
          <w:tcPr>
            <w:tcW w:w="1843" w:type="dxa"/>
          </w:tcPr>
          <w:p w14:paraId="75A7FCC8"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559" w:type="dxa"/>
          </w:tcPr>
          <w:p w14:paraId="75A7FCC9"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3111" w:type="dxa"/>
          </w:tcPr>
          <w:p w14:paraId="75A7FCCA" w14:textId="37F13FD5"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 xml:space="preserve">L’intermédiaire visé au I 1° et au II de l’article L.550-1 du </w:t>
            </w:r>
            <w:r>
              <w:rPr>
                <w:rFonts w:ascii="Arial" w:eastAsia="Times New Roman" w:hAnsi="Arial" w:cs="Arial"/>
                <w:sz w:val="16"/>
                <w:szCs w:val="16"/>
              </w:rPr>
              <w:t>code monétaire et financier</w:t>
            </w:r>
            <w:r w:rsidRPr="001A67C3" w:rsidDel="0025699B">
              <w:rPr>
                <w:rFonts w:ascii="Arial" w:eastAsia="Times New Roman" w:hAnsi="Arial" w:cs="Arial"/>
                <w:sz w:val="16"/>
                <w:szCs w:val="16"/>
              </w:rPr>
              <w:t xml:space="preserve"> </w:t>
            </w:r>
            <w:r w:rsidRPr="001A67C3">
              <w:rPr>
                <w:rFonts w:ascii="Arial" w:eastAsia="Times New Roman" w:hAnsi="Arial" w:cs="Arial"/>
                <w:sz w:val="16"/>
                <w:szCs w:val="16"/>
              </w:rPr>
              <w:t xml:space="preserve">qui prend l’initiative de l’opération </w:t>
            </w:r>
          </w:p>
        </w:tc>
      </w:tr>
      <w:tr w:rsidR="007B2475" w:rsidRPr="001A67C3" w14:paraId="75A7FCE4" w14:textId="77777777" w:rsidTr="00A72C21">
        <w:tc>
          <w:tcPr>
            <w:tcW w:w="1809" w:type="dxa"/>
          </w:tcPr>
          <w:p w14:paraId="75A7FCD4"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sidRPr="002447F0">
              <w:rPr>
                <w:rFonts w:ascii="Arial" w:eastAsia="Times New Roman" w:hAnsi="Arial" w:cs="Arial"/>
                <w:b/>
                <w:sz w:val="16"/>
                <w:szCs w:val="16"/>
              </w:rPr>
              <w:t xml:space="preserve">5° Justification de la tenue de registre nécessaire pour remplir les exigences visées au 5° du I de l’article 441-2 du règlement général de l’AMF </w:t>
            </w:r>
          </w:p>
        </w:tc>
        <w:tc>
          <w:tcPr>
            <w:tcW w:w="1134" w:type="dxa"/>
          </w:tcPr>
          <w:p w14:paraId="75A7FCD5"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418" w:type="dxa"/>
          </w:tcPr>
          <w:p w14:paraId="75A7FCD6"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276" w:type="dxa"/>
          </w:tcPr>
          <w:p w14:paraId="75A7FCD7"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417" w:type="dxa"/>
          </w:tcPr>
          <w:p w14:paraId="75A7FCD8"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843" w:type="dxa"/>
          </w:tcPr>
          <w:p w14:paraId="75A7FCD9"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559" w:type="dxa"/>
          </w:tcPr>
          <w:p w14:paraId="75A7FCDA"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3111" w:type="dxa"/>
          </w:tcPr>
          <w:p w14:paraId="75A7FCDB" w14:textId="3D2AA8AB"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 xml:space="preserve">L’intermédiaire visé au I 1° et au II de l’article L.550-1 du </w:t>
            </w:r>
            <w:r>
              <w:rPr>
                <w:rFonts w:ascii="Arial" w:eastAsia="Times New Roman" w:hAnsi="Arial" w:cs="Arial"/>
                <w:sz w:val="16"/>
                <w:szCs w:val="16"/>
              </w:rPr>
              <w:t>code monétaire et financier</w:t>
            </w:r>
            <w:r w:rsidRPr="001A67C3" w:rsidDel="0025699B">
              <w:rPr>
                <w:rFonts w:ascii="Arial" w:eastAsia="Times New Roman" w:hAnsi="Arial" w:cs="Arial"/>
                <w:sz w:val="16"/>
                <w:szCs w:val="16"/>
              </w:rPr>
              <w:t xml:space="preserve"> </w:t>
            </w:r>
            <w:r w:rsidRPr="001A67C3">
              <w:rPr>
                <w:rFonts w:ascii="Arial" w:eastAsia="Times New Roman" w:hAnsi="Arial" w:cs="Arial"/>
                <w:sz w:val="16"/>
                <w:szCs w:val="16"/>
              </w:rPr>
              <w:t>qui prend l’initiative de l’opération</w:t>
            </w:r>
          </w:p>
        </w:tc>
      </w:tr>
      <w:tr w:rsidR="007B2475" w:rsidRPr="001A67C3" w14:paraId="75A7FCF9" w14:textId="77777777" w:rsidTr="00A72C21">
        <w:tc>
          <w:tcPr>
            <w:tcW w:w="1809" w:type="dxa"/>
          </w:tcPr>
          <w:p w14:paraId="75A7FCE6" w14:textId="07188AED" w:rsidR="007B2475" w:rsidRPr="002447F0" w:rsidRDefault="007B2475" w:rsidP="00C07FAA">
            <w:pPr>
              <w:overflowPunct w:val="0"/>
              <w:autoSpaceDE w:val="0"/>
              <w:autoSpaceDN w:val="0"/>
              <w:adjustRightInd w:val="0"/>
              <w:textAlignment w:val="baseline"/>
              <w:rPr>
                <w:rFonts w:ascii="Arial" w:eastAsia="Times New Roman" w:hAnsi="Arial" w:cs="Arial"/>
                <w:b/>
                <w:sz w:val="16"/>
                <w:szCs w:val="16"/>
              </w:rPr>
            </w:pPr>
            <w:r w:rsidRPr="002447F0">
              <w:rPr>
                <w:rFonts w:ascii="Arial" w:eastAsia="Times New Roman" w:hAnsi="Arial" w:cs="Arial"/>
                <w:b/>
                <w:sz w:val="16"/>
                <w:szCs w:val="16"/>
              </w:rPr>
              <w:t xml:space="preserve">6° Transmission aux investisseurs d’un justificatif des droits à percevoir une rente viagère ou des droits sur les biens dès qu’ils les acquièrent </w:t>
            </w:r>
          </w:p>
          <w:p w14:paraId="75A7FCE7" w14:textId="77777777" w:rsidR="007B2475" w:rsidRPr="002447F0" w:rsidRDefault="007B2475" w:rsidP="00C07FAA">
            <w:pPr>
              <w:overflowPunct w:val="0"/>
              <w:autoSpaceDE w:val="0"/>
              <w:autoSpaceDN w:val="0"/>
              <w:adjustRightInd w:val="0"/>
              <w:textAlignment w:val="baseline"/>
              <w:rPr>
                <w:rFonts w:ascii="Arial" w:eastAsia="Times New Roman" w:hAnsi="Arial" w:cs="Arial"/>
                <w:b/>
                <w:sz w:val="16"/>
                <w:szCs w:val="16"/>
              </w:rPr>
            </w:pPr>
            <w:r w:rsidRPr="002447F0">
              <w:rPr>
                <w:rFonts w:ascii="Arial" w:eastAsia="Times New Roman" w:hAnsi="Arial" w:cs="Arial"/>
                <w:b/>
                <w:sz w:val="16"/>
                <w:szCs w:val="16"/>
              </w:rPr>
              <w:t>ET</w:t>
            </w:r>
          </w:p>
          <w:p w14:paraId="75A7FCE9" w14:textId="77777777" w:rsidR="007B2475" w:rsidRPr="002447F0" w:rsidRDefault="007B2475" w:rsidP="00C07FAA">
            <w:pPr>
              <w:overflowPunct w:val="0"/>
              <w:autoSpaceDE w:val="0"/>
              <w:autoSpaceDN w:val="0"/>
              <w:adjustRightInd w:val="0"/>
              <w:textAlignment w:val="baseline"/>
              <w:rPr>
                <w:rFonts w:ascii="Arial" w:eastAsia="Times New Roman" w:hAnsi="Arial" w:cs="Arial"/>
                <w:b/>
                <w:sz w:val="16"/>
                <w:szCs w:val="16"/>
              </w:rPr>
            </w:pPr>
            <w:r w:rsidRPr="002447F0">
              <w:rPr>
                <w:rFonts w:ascii="Arial" w:eastAsia="Times New Roman" w:hAnsi="Arial" w:cs="Arial"/>
                <w:b/>
                <w:sz w:val="16"/>
                <w:szCs w:val="16"/>
              </w:rPr>
              <w:t>Envoi à l’AMF d’un engagement formel</w:t>
            </w:r>
          </w:p>
        </w:tc>
        <w:tc>
          <w:tcPr>
            <w:tcW w:w="1134" w:type="dxa"/>
          </w:tcPr>
          <w:p w14:paraId="75A7FCEA"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418" w:type="dxa"/>
          </w:tcPr>
          <w:p w14:paraId="75A7FCEB"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276" w:type="dxa"/>
          </w:tcPr>
          <w:p w14:paraId="75A7FCEC"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417" w:type="dxa"/>
          </w:tcPr>
          <w:p w14:paraId="75A7FCED"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843" w:type="dxa"/>
          </w:tcPr>
          <w:p w14:paraId="75A7FCEE"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559" w:type="dxa"/>
          </w:tcPr>
          <w:p w14:paraId="75A7FCEF"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3111" w:type="dxa"/>
          </w:tcPr>
          <w:p w14:paraId="75A7FCF0" w14:textId="28957D3E"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 xml:space="preserve">L’intermédiaire visé au I 1° et au II de l’article L.550-1 du </w:t>
            </w:r>
            <w:r>
              <w:rPr>
                <w:rFonts w:ascii="Arial" w:eastAsia="Times New Roman" w:hAnsi="Arial" w:cs="Arial"/>
                <w:sz w:val="16"/>
                <w:szCs w:val="16"/>
              </w:rPr>
              <w:t>code monétaire et financier</w:t>
            </w:r>
            <w:r w:rsidRPr="001A67C3" w:rsidDel="0025699B">
              <w:rPr>
                <w:rFonts w:ascii="Arial" w:eastAsia="Times New Roman" w:hAnsi="Arial" w:cs="Arial"/>
                <w:sz w:val="16"/>
                <w:szCs w:val="16"/>
              </w:rPr>
              <w:t xml:space="preserve"> </w:t>
            </w:r>
            <w:r w:rsidRPr="001A67C3">
              <w:rPr>
                <w:rFonts w:ascii="Arial" w:eastAsia="Times New Roman" w:hAnsi="Arial" w:cs="Arial"/>
                <w:sz w:val="16"/>
                <w:szCs w:val="16"/>
              </w:rPr>
              <w:t>qui prend l’initiative de l’opération</w:t>
            </w:r>
          </w:p>
        </w:tc>
      </w:tr>
      <w:tr w:rsidR="007B2475" w:rsidRPr="001A67C3" w14:paraId="75A7FD0A" w14:textId="77777777" w:rsidTr="002D4791">
        <w:trPr>
          <w:trHeight w:val="2604"/>
        </w:trPr>
        <w:tc>
          <w:tcPr>
            <w:tcW w:w="1809" w:type="dxa"/>
          </w:tcPr>
          <w:p w14:paraId="37B83A23" w14:textId="77777777" w:rsidR="007B2475" w:rsidRDefault="007B2475" w:rsidP="001E3564">
            <w:pPr>
              <w:overflowPunct w:val="0"/>
              <w:autoSpaceDE w:val="0"/>
              <w:autoSpaceDN w:val="0"/>
              <w:adjustRightInd w:val="0"/>
              <w:textAlignment w:val="baseline"/>
              <w:rPr>
                <w:rFonts w:ascii="Arial" w:eastAsia="Times New Roman" w:hAnsi="Arial" w:cs="Arial"/>
                <w:b/>
                <w:sz w:val="16"/>
                <w:szCs w:val="16"/>
              </w:rPr>
            </w:pPr>
            <w:r w:rsidRPr="002447F0">
              <w:rPr>
                <w:rFonts w:ascii="Arial" w:eastAsia="Times New Roman" w:hAnsi="Arial" w:cs="Arial"/>
                <w:b/>
                <w:sz w:val="16"/>
                <w:szCs w:val="16"/>
              </w:rPr>
              <w:t>7° Signature du document d’information et transmission des documents mentionnés à l’article L. 550-3 du code monétaire et financier</w:t>
            </w:r>
            <w:r>
              <w:rPr>
                <w:rFonts w:ascii="Arial" w:eastAsia="Times New Roman" w:hAnsi="Arial" w:cs="Arial"/>
                <w:b/>
                <w:sz w:val="16"/>
                <w:szCs w:val="16"/>
              </w:rPr>
              <w:t xml:space="preserve"> et des</w:t>
            </w:r>
            <w:r>
              <w:t xml:space="preserve"> </w:t>
            </w:r>
            <w:r w:rsidRPr="001E3564">
              <w:rPr>
                <w:rFonts w:ascii="Arial" w:eastAsia="Times New Roman" w:hAnsi="Arial" w:cs="Arial"/>
                <w:b/>
                <w:sz w:val="16"/>
                <w:szCs w:val="16"/>
              </w:rPr>
              <w:t>éléments justifiant du respect des obligations mentionnées à l’article 441-1</w:t>
            </w:r>
          </w:p>
          <w:p w14:paraId="75A7FCFA" w14:textId="319B2144" w:rsidR="007B2475" w:rsidRPr="002447F0" w:rsidRDefault="007B2475" w:rsidP="001E3564">
            <w:pPr>
              <w:overflowPunct w:val="0"/>
              <w:autoSpaceDE w:val="0"/>
              <w:autoSpaceDN w:val="0"/>
              <w:adjustRightInd w:val="0"/>
              <w:textAlignment w:val="baseline"/>
              <w:rPr>
                <w:rFonts w:ascii="Arial" w:eastAsia="Times New Roman" w:hAnsi="Arial" w:cs="Arial"/>
                <w:b/>
                <w:sz w:val="16"/>
                <w:szCs w:val="16"/>
              </w:rPr>
            </w:pPr>
          </w:p>
        </w:tc>
        <w:tc>
          <w:tcPr>
            <w:tcW w:w="1134" w:type="dxa"/>
          </w:tcPr>
          <w:p w14:paraId="75A7FCFB"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418" w:type="dxa"/>
          </w:tcPr>
          <w:p w14:paraId="75A7FCFC"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276" w:type="dxa"/>
          </w:tcPr>
          <w:p w14:paraId="75A7FCFD"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417" w:type="dxa"/>
          </w:tcPr>
          <w:p w14:paraId="75A7FCFE"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843" w:type="dxa"/>
          </w:tcPr>
          <w:p w14:paraId="75A7FCFF"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559" w:type="dxa"/>
          </w:tcPr>
          <w:p w14:paraId="75A7FD00"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3111" w:type="dxa"/>
          </w:tcPr>
          <w:p w14:paraId="75A7FD01" w14:textId="09F27431"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 xml:space="preserve">L’intermédiaire visé au I 1° et au II de l’article L.550-1 du </w:t>
            </w:r>
            <w:r>
              <w:rPr>
                <w:rFonts w:ascii="Arial" w:eastAsia="Times New Roman" w:hAnsi="Arial" w:cs="Arial"/>
                <w:sz w:val="16"/>
                <w:szCs w:val="16"/>
              </w:rPr>
              <w:t>code monétaire et financier</w:t>
            </w:r>
            <w:r w:rsidRPr="001A67C3" w:rsidDel="0025699B">
              <w:rPr>
                <w:rFonts w:ascii="Arial" w:eastAsia="Times New Roman" w:hAnsi="Arial" w:cs="Arial"/>
                <w:sz w:val="16"/>
                <w:szCs w:val="16"/>
              </w:rPr>
              <w:t xml:space="preserve"> </w:t>
            </w:r>
            <w:r w:rsidRPr="001A67C3">
              <w:rPr>
                <w:rFonts w:ascii="Arial" w:eastAsia="Times New Roman" w:hAnsi="Arial" w:cs="Arial"/>
                <w:sz w:val="16"/>
                <w:szCs w:val="16"/>
              </w:rPr>
              <w:t>qui prend l’initiative de l’opération</w:t>
            </w:r>
          </w:p>
        </w:tc>
      </w:tr>
      <w:tr w:rsidR="007B2475" w:rsidRPr="001A67C3" w14:paraId="75A7FD14" w14:textId="77777777" w:rsidTr="00A72C21">
        <w:tc>
          <w:tcPr>
            <w:tcW w:w="1809" w:type="dxa"/>
            <w:shd w:val="clear" w:color="auto" w:fill="808080" w:themeFill="background1" w:themeFillShade="80"/>
          </w:tcPr>
          <w:p w14:paraId="75A7FD0B"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sidRPr="002447F0">
              <w:rPr>
                <w:rFonts w:ascii="Arial" w:eastAsia="Times New Roman" w:hAnsi="Arial" w:cs="Arial"/>
                <w:b/>
                <w:sz w:val="16"/>
                <w:szCs w:val="16"/>
              </w:rPr>
              <w:t>Article 441-2 II du règlement général de l’AMF</w:t>
            </w:r>
          </w:p>
        </w:tc>
        <w:tc>
          <w:tcPr>
            <w:tcW w:w="1134" w:type="dxa"/>
            <w:shd w:val="clear" w:color="auto" w:fill="808080" w:themeFill="background1" w:themeFillShade="80"/>
          </w:tcPr>
          <w:p w14:paraId="75A7FD0C"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418" w:type="dxa"/>
            <w:shd w:val="clear" w:color="auto" w:fill="808080" w:themeFill="background1" w:themeFillShade="80"/>
          </w:tcPr>
          <w:p w14:paraId="75A7FD0D"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276" w:type="dxa"/>
            <w:shd w:val="clear" w:color="auto" w:fill="808080" w:themeFill="background1" w:themeFillShade="80"/>
          </w:tcPr>
          <w:p w14:paraId="75A7FD0E"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417" w:type="dxa"/>
            <w:shd w:val="clear" w:color="auto" w:fill="808080" w:themeFill="background1" w:themeFillShade="80"/>
          </w:tcPr>
          <w:p w14:paraId="75A7FD0F"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843" w:type="dxa"/>
            <w:shd w:val="clear" w:color="auto" w:fill="808080" w:themeFill="background1" w:themeFillShade="80"/>
          </w:tcPr>
          <w:p w14:paraId="75A7FD10"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559" w:type="dxa"/>
            <w:shd w:val="clear" w:color="auto" w:fill="808080" w:themeFill="background1" w:themeFillShade="80"/>
          </w:tcPr>
          <w:p w14:paraId="75A7FD11"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3111" w:type="dxa"/>
            <w:shd w:val="clear" w:color="auto" w:fill="808080" w:themeFill="background1" w:themeFillShade="80"/>
          </w:tcPr>
          <w:p w14:paraId="75A7FD12"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r>
      <w:tr w:rsidR="007B2475" w:rsidRPr="001A67C3" w14:paraId="75A7FD25" w14:textId="77777777" w:rsidTr="00A72C21">
        <w:tc>
          <w:tcPr>
            <w:tcW w:w="1809" w:type="dxa"/>
          </w:tcPr>
          <w:p w14:paraId="75A7FD15"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sidRPr="002447F0">
              <w:rPr>
                <w:rFonts w:ascii="Arial" w:eastAsia="Times New Roman" w:hAnsi="Arial" w:cs="Arial"/>
                <w:b/>
                <w:sz w:val="16"/>
                <w:szCs w:val="16"/>
              </w:rPr>
              <w:t>1° Justification de la souscription d’une assurance des biens sur lesquels des droits sont acquis</w:t>
            </w:r>
          </w:p>
        </w:tc>
        <w:tc>
          <w:tcPr>
            <w:tcW w:w="1134" w:type="dxa"/>
          </w:tcPr>
          <w:p w14:paraId="75A7FD16"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418" w:type="dxa"/>
          </w:tcPr>
          <w:p w14:paraId="75A7FD17"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276" w:type="dxa"/>
          </w:tcPr>
          <w:p w14:paraId="75A7FD18"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417" w:type="dxa"/>
          </w:tcPr>
          <w:p w14:paraId="75A7FD19"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843" w:type="dxa"/>
          </w:tcPr>
          <w:p w14:paraId="75A7FD1A"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559" w:type="dxa"/>
          </w:tcPr>
          <w:p w14:paraId="75A7FD1B"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3111" w:type="dxa"/>
          </w:tcPr>
          <w:p w14:paraId="75A7FD1C" w14:textId="356025E9"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 xml:space="preserve">L’intermédiaire visé au I 1° et au II de l’article L.550-1 du </w:t>
            </w:r>
            <w:r>
              <w:rPr>
                <w:rFonts w:ascii="Arial" w:eastAsia="Times New Roman" w:hAnsi="Arial" w:cs="Arial"/>
                <w:sz w:val="16"/>
                <w:szCs w:val="16"/>
              </w:rPr>
              <w:t>code monétaire et financier</w:t>
            </w:r>
            <w:r w:rsidRPr="001A67C3" w:rsidDel="0025699B">
              <w:rPr>
                <w:rFonts w:ascii="Arial" w:eastAsia="Times New Roman" w:hAnsi="Arial" w:cs="Arial"/>
                <w:sz w:val="16"/>
                <w:szCs w:val="16"/>
              </w:rPr>
              <w:t xml:space="preserve"> </w:t>
            </w:r>
            <w:r w:rsidRPr="001A67C3">
              <w:rPr>
                <w:rFonts w:ascii="Arial" w:eastAsia="Times New Roman" w:hAnsi="Arial" w:cs="Arial"/>
                <w:sz w:val="16"/>
                <w:szCs w:val="16"/>
              </w:rPr>
              <w:t>qui prend l’initiative de l’opération</w:t>
            </w:r>
          </w:p>
        </w:tc>
      </w:tr>
      <w:tr w:rsidR="007B2475" w:rsidRPr="001A67C3" w14:paraId="75A7FD36" w14:textId="77777777" w:rsidTr="00A72C21">
        <w:tc>
          <w:tcPr>
            <w:tcW w:w="1809" w:type="dxa"/>
          </w:tcPr>
          <w:p w14:paraId="75A7FD26"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sidRPr="002447F0">
              <w:rPr>
                <w:rFonts w:ascii="Arial" w:eastAsia="Times New Roman" w:hAnsi="Arial" w:cs="Arial"/>
                <w:b/>
                <w:sz w:val="16"/>
                <w:szCs w:val="16"/>
              </w:rPr>
              <w:t>2° Mise en place d’une procédure de valorisation des biens en cas de faculté de reprise ou d’échange</w:t>
            </w:r>
          </w:p>
        </w:tc>
        <w:tc>
          <w:tcPr>
            <w:tcW w:w="1134" w:type="dxa"/>
          </w:tcPr>
          <w:p w14:paraId="75A7FD27"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418" w:type="dxa"/>
          </w:tcPr>
          <w:p w14:paraId="75A7FD28"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276" w:type="dxa"/>
          </w:tcPr>
          <w:p w14:paraId="75A7FD29"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417" w:type="dxa"/>
          </w:tcPr>
          <w:p w14:paraId="75A7FD2A"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843" w:type="dxa"/>
          </w:tcPr>
          <w:p w14:paraId="75A7FD2B"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559" w:type="dxa"/>
          </w:tcPr>
          <w:p w14:paraId="75A7FD2C"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3111" w:type="dxa"/>
          </w:tcPr>
          <w:p w14:paraId="75A7FD2D" w14:textId="449B38A1"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 xml:space="preserve">L’intermédiaire visé au I 1° de l’article L. 550-1 du </w:t>
            </w:r>
            <w:r>
              <w:rPr>
                <w:rFonts w:ascii="Arial" w:eastAsia="Times New Roman" w:hAnsi="Arial" w:cs="Arial"/>
                <w:sz w:val="16"/>
                <w:szCs w:val="16"/>
              </w:rPr>
              <w:t>code monétaire et financier</w:t>
            </w:r>
            <w:r w:rsidRPr="001A67C3" w:rsidDel="0025699B">
              <w:rPr>
                <w:rFonts w:ascii="Arial" w:eastAsia="Times New Roman" w:hAnsi="Arial" w:cs="Arial"/>
                <w:sz w:val="16"/>
                <w:szCs w:val="16"/>
              </w:rPr>
              <w:t xml:space="preserve"> </w:t>
            </w:r>
            <w:r w:rsidRPr="001A67C3">
              <w:rPr>
                <w:rFonts w:ascii="Arial" w:eastAsia="Times New Roman" w:hAnsi="Arial" w:cs="Arial"/>
                <w:sz w:val="16"/>
                <w:szCs w:val="16"/>
              </w:rPr>
              <w:t>qui prend l’initiative de l’opération</w:t>
            </w:r>
          </w:p>
        </w:tc>
      </w:tr>
      <w:tr w:rsidR="007B2475" w:rsidRPr="001A67C3" w14:paraId="75A7FD49" w14:textId="77777777" w:rsidTr="00A72C21">
        <w:tc>
          <w:tcPr>
            <w:tcW w:w="1809" w:type="dxa"/>
          </w:tcPr>
          <w:p w14:paraId="75A7FD37"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sidRPr="002447F0">
              <w:rPr>
                <w:rFonts w:ascii="Arial" w:eastAsia="Times New Roman" w:hAnsi="Arial" w:cs="Arial"/>
                <w:b/>
                <w:sz w:val="16"/>
                <w:szCs w:val="16"/>
              </w:rPr>
              <w:t>3° Mise en place d’un mécanisme garantissant la liquidité des droits sur les biens</w:t>
            </w:r>
          </w:p>
        </w:tc>
        <w:tc>
          <w:tcPr>
            <w:tcW w:w="1134" w:type="dxa"/>
          </w:tcPr>
          <w:p w14:paraId="75A7FD38"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418" w:type="dxa"/>
          </w:tcPr>
          <w:p w14:paraId="75A7FD39"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276" w:type="dxa"/>
          </w:tcPr>
          <w:p w14:paraId="75A7FD3A"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417" w:type="dxa"/>
          </w:tcPr>
          <w:p w14:paraId="75A7FD3B"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843" w:type="dxa"/>
          </w:tcPr>
          <w:p w14:paraId="75A7FD3C"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559" w:type="dxa"/>
          </w:tcPr>
          <w:p w14:paraId="75A7FD3D"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3111" w:type="dxa"/>
          </w:tcPr>
          <w:p w14:paraId="753F77D5" w14:textId="5195E55A" w:rsidR="005142F7"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 xml:space="preserve">L’intermédiaire visé au I 1° de l’article L. 550-1 du </w:t>
            </w:r>
            <w:r>
              <w:rPr>
                <w:rFonts w:ascii="Arial" w:eastAsia="Times New Roman" w:hAnsi="Arial" w:cs="Arial"/>
                <w:sz w:val="16"/>
                <w:szCs w:val="16"/>
              </w:rPr>
              <w:t>code monétaire et financier</w:t>
            </w:r>
            <w:r w:rsidRPr="001A67C3" w:rsidDel="0025699B">
              <w:rPr>
                <w:rFonts w:ascii="Arial" w:eastAsia="Times New Roman" w:hAnsi="Arial" w:cs="Arial"/>
                <w:sz w:val="16"/>
                <w:szCs w:val="16"/>
              </w:rPr>
              <w:t xml:space="preserve"> </w:t>
            </w:r>
            <w:r w:rsidRPr="001A67C3">
              <w:rPr>
                <w:rFonts w:ascii="Arial" w:eastAsia="Times New Roman" w:hAnsi="Arial" w:cs="Arial"/>
                <w:sz w:val="16"/>
                <w:szCs w:val="16"/>
              </w:rPr>
              <w:t xml:space="preserve">qui prend l’initiative de </w:t>
            </w:r>
            <w:r w:rsidR="002D4791">
              <w:rPr>
                <w:rFonts w:ascii="Arial" w:eastAsia="Times New Roman" w:hAnsi="Arial" w:cs="Arial"/>
                <w:sz w:val="16"/>
                <w:szCs w:val="16"/>
              </w:rPr>
              <w:t>l’opération</w:t>
            </w:r>
          </w:p>
          <w:p w14:paraId="588A2DED" w14:textId="77777777" w:rsidR="005142F7" w:rsidRDefault="005142F7" w:rsidP="00652BFD">
            <w:pPr>
              <w:overflowPunct w:val="0"/>
              <w:autoSpaceDE w:val="0"/>
              <w:autoSpaceDN w:val="0"/>
              <w:adjustRightInd w:val="0"/>
              <w:textAlignment w:val="baseline"/>
              <w:rPr>
                <w:rFonts w:ascii="Arial" w:eastAsia="Times New Roman" w:hAnsi="Arial" w:cs="Arial"/>
                <w:sz w:val="16"/>
                <w:szCs w:val="16"/>
              </w:rPr>
            </w:pPr>
          </w:p>
          <w:p w14:paraId="4810BFB4" w14:textId="77777777" w:rsidR="005142F7" w:rsidRPr="001A67C3" w:rsidRDefault="005142F7" w:rsidP="00652BFD">
            <w:pPr>
              <w:overflowPunct w:val="0"/>
              <w:autoSpaceDE w:val="0"/>
              <w:autoSpaceDN w:val="0"/>
              <w:adjustRightInd w:val="0"/>
              <w:textAlignment w:val="baseline"/>
              <w:rPr>
                <w:rFonts w:ascii="Arial" w:eastAsia="Times New Roman" w:hAnsi="Arial" w:cs="Arial"/>
                <w:sz w:val="16"/>
                <w:szCs w:val="16"/>
              </w:rPr>
            </w:pPr>
          </w:p>
          <w:p w14:paraId="75A7FD40"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r>
      <w:tr w:rsidR="007B2475" w:rsidRPr="001A67C3" w14:paraId="75A7FD53" w14:textId="77777777" w:rsidTr="00A72C21">
        <w:tc>
          <w:tcPr>
            <w:tcW w:w="1809" w:type="dxa"/>
            <w:shd w:val="clear" w:color="auto" w:fill="808080" w:themeFill="background1" w:themeFillShade="80"/>
          </w:tcPr>
          <w:p w14:paraId="75A7FD4A"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sidRPr="002447F0">
              <w:rPr>
                <w:rFonts w:ascii="Arial" w:eastAsia="Times New Roman" w:hAnsi="Arial" w:cs="Arial"/>
                <w:b/>
                <w:sz w:val="16"/>
                <w:szCs w:val="16"/>
              </w:rPr>
              <w:t>Article 441-3 du règlement général de l’AMF</w:t>
            </w:r>
          </w:p>
        </w:tc>
        <w:tc>
          <w:tcPr>
            <w:tcW w:w="1134" w:type="dxa"/>
            <w:shd w:val="clear" w:color="auto" w:fill="808080" w:themeFill="background1" w:themeFillShade="80"/>
          </w:tcPr>
          <w:p w14:paraId="75A7FD4B"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418" w:type="dxa"/>
            <w:shd w:val="clear" w:color="auto" w:fill="808080" w:themeFill="background1" w:themeFillShade="80"/>
          </w:tcPr>
          <w:p w14:paraId="75A7FD4C"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276" w:type="dxa"/>
            <w:shd w:val="clear" w:color="auto" w:fill="808080" w:themeFill="background1" w:themeFillShade="80"/>
          </w:tcPr>
          <w:p w14:paraId="75A7FD4D"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417" w:type="dxa"/>
            <w:shd w:val="clear" w:color="auto" w:fill="808080" w:themeFill="background1" w:themeFillShade="80"/>
          </w:tcPr>
          <w:p w14:paraId="75A7FD4E"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843" w:type="dxa"/>
            <w:shd w:val="clear" w:color="auto" w:fill="808080" w:themeFill="background1" w:themeFillShade="80"/>
          </w:tcPr>
          <w:p w14:paraId="75A7FD4F"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559" w:type="dxa"/>
            <w:shd w:val="clear" w:color="auto" w:fill="808080" w:themeFill="background1" w:themeFillShade="80"/>
          </w:tcPr>
          <w:p w14:paraId="75A7FD50"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3111" w:type="dxa"/>
            <w:shd w:val="clear" w:color="auto" w:fill="808080" w:themeFill="background1" w:themeFillShade="80"/>
          </w:tcPr>
          <w:p w14:paraId="75A7FD51"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r>
      <w:tr w:rsidR="007B2475" w:rsidRPr="001A67C3" w14:paraId="75A7FD66" w14:textId="77777777" w:rsidTr="00A72C21">
        <w:tc>
          <w:tcPr>
            <w:tcW w:w="1809" w:type="dxa"/>
          </w:tcPr>
          <w:p w14:paraId="75A7FD54"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sidRPr="002447F0">
              <w:rPr>
                <w:rFonts w:ascii="Arial" w:eastAsia="Times New Roman" w:hAnsi="Arial" w:cs="Arial"/>
                <w:b/>
                <w:sz w:val="16"/>
                <w:szCs w:val="16"/>
              </w:rPr>
              <w:t>1° Fourniture d’un rapport établi par un expert indépendant</w:t>
            </w:r>
          </w:p>
          <w:p w14:paraId="75A7FD55"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p>
          <w:p w14:paraId="75A7FD56"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p>
        </w:tc>
        <w:tc>
          <w:tcPr>
            <w:tcW w:w="1134" w:type="dxa"/>
          </w:tcPr>
          <w:p w14:paraId="75A7FD57"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418" w:type="dxa"/>
          </w:tcPr>
          <w:p w14:paraId="75A7FD58"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276" w:type="dxa"/>
          </w:tcPr>
          <w:p w14:paraId="75A7FD59"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417" w:type="dxa"/>
          </w:tcPr>
          <w:p w14:paraId="75A7FD5A"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843" w:type="dxa"/>
          </w:tcPr>
          <w:p w14:paraId="75A7FD5B"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559" w:type="dxa"/>
          </w:tcPr>
          <w:p w14:paraId="75A7FD5C"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3111" w:type="dxa"/>
          </w:tcPr>
          <w:p w14:paraId="75A7FD5D" w14:textId="353F76A4"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 xml:space="preserve">L’intermédiaire visé au I 1° et au II de l’article L.550-1 du </w:t>
            </w:r>
            <w:r>
              <w:rPr>
                <w:rFonts w:ascii="Arial" w:eastAsia="Times New Roman" w:hAnsi="Arial" w:cs="Arial"/>
                <w:sz w:val="16"/>
                <w:szCs w:val="16"/>
              </w:rPr>
              <w:t>code monétaire et financier</w:t>
            </w:r>
            <w:r w:rsidRPr="001A67C3" w:rsidDel="0025699B">
              <w:rPr>
                <w:rFonts w:ascii="Arial" w:eastAsia="Times New Roman" w:hAnsi="Arial" w:cs="Arial"/>
                <w:sz w:val="16"/>
                <w:szCs w:val="16"/>
              </w:rPr>
              <w:t xml:space="preserve"> </w:t>
            </w:r>
            <w:r w:rsidRPr="001A67C3">
              <w:rPr>
                <w:rFonts w:ascii="Arial" w:eastAsia="Times New Roman" w:hAnsi="Arial" w:cs="Arial"/>
                <w:sz w:val="16"/>
                <w:szCs w:val="16"/>
              </w:rPr>
              <w:t>qui prend l’initiative de l’opération</w:t>
            </w:r>
          </w:p>
        </w:tc>
      </w:tr>
      <w:tr w:rsidR="007B2475" w:rsidRPr="001A67C3" w14:paraId="75A7FD77" w14:textId="77777777" w:rsidTr="00A72C21">
        <w:tc>
          <w:tcPr>
            <w:tcW w:w="1809" w:type="dxa"/>
          </w:tcPr>
          <w:p w14:paraId="75A7FD67" w14:textId="3973326E" w:rsidR="007B2475" w:rsidRPr="002447F0" w:rsidRDefault="007B2475" w:rsidP="00432C63">
            <w:pPr>
              <w:overflowPunct w:val="0"/>
              <w:autoSpaceDE w:val="0"/>
              <w:autoSpaceDN w:val="0"/>
              <w:adjustRightInd w:val="0"/>
              <w:textAlignment w:val="baseline"/>
              <w:rPr>
                <w:rFonts w:ascii="Arial" w:eastAsia="Times New Roman" w:hAnsi="Arial" w:cs="Arial"/>
                <w:b/>
                <w:sz w:val="16"/>
                <w:szCs w:val="16"/>
              </w:rPr>
            </w:pPr>
            <w:r w:rsidRPr="002447F0">
              <w:rPr>
                <w:rFonts w:ascii="Arial" w:eastAsia="Times New Roman" w:hAnsi="Arial" w:cs="Arial"/>
                <w:b/>
                <w:sz w:val="16"/>
                <w:szCs w:val="16"/>
              </w:rPr>
              <w:t xml:space="preserve">3° Fourniture </w:t>
            </w:r>
            <w:r w:rsidR="00432C63">
              <w:rPr>
                <w:rFonts w:ascii="Arial" w:eastAsia="Times New Roman" w:hAnsi="Arial" w:cs="Arial"/>
                <w:b/>
                <w:sz w:val="16"/>
                <w:szCs w:val="16"/>
              </w:rPr>
              <w:t xml:space="preserve">des communications </w:t>
            </w:r>
            <w:r w:rsidRPr="002447F0">
              <w:rPr>
                <w:rFonts w:ascii="Arial" w:eastAsia="Times New Roman" w:hAnsi="Arial" w:cs="Arial"/>
                <w:b/>
                <w:sz w:val="16"/>
                <w:szCs w:val="16"/>
              </w:rPr>
              <w:t xml:space="preserve"> </w:t>
            </w:r>
            <w:r w:rsidR="003131BA">
              <w:rPr>
                <w:rFonts w:ascii="Arial" w:eastAsia="Times New Roman" w:hAnsi="Arial" w:cs="Arial"/>
                <w:b/>
                <w:sz w:val="16"/>
                <w:szCs w:val="16"/>
              </w:rPr>
              <w:t>à caractère promotionnel</w:t>
            </w:r>
            <w:r w:rsidR="003131BA" w:rsidRPr="002447F0">
              <w:rPr>
                <w:rFonts w:ascii="Arial" w:eastAsia="Times New Roman" w:hAnsi="Arial" w:cs="Arial"/>
                <w:b/>
                <w:sz w:val="16"/>
                <w:szCs w:val="16"/>
              </w:rPr>
              <w:t xml:space="preserve"> </w:t>
            </w:r>
            <w:r w:rsidRPr="002447F0">
              <w:rPr>
                <w:rFonts w:ascii="Arial" w:eastAsia="Times New Roman" w:hAnsi="Arial" w:cs="Arial"/>
                <w:b/>
                <w:sz w:val="16"/>
                <w:szCs w:val="16"/>
              </w:rPr>
              <w:t>mentionnées au III de l’article L. 550-1 du code monétaire et financier</w:t>
            </w:r>
          </w:p>
        </w:tc>
        <w:tc>
          <w:tcPr>
            <w:tcW w:w="1134" w:type="dxa"/>
          </w:tcPr>
          <w:p w14:paraId="75A7FD68" w14:textId="77777777" w:rsidR="007B2475" w:rsidRPr="00E94B03" w:rsidRDefault="007B2475" w:rsidP="00652BFD">
            <w:pPr>
              <w:overflowPunct w:val="0"/>
              <w:autoSpaceDE w:val="0"/>
              <w:autoSpaceDN w:val="0"/>
              <w:adjustRightInd w:val="0"/>
              <w:spacing w:after="200" w:line="276" w:lineRule="auto"/>
              <w:textAlignment w:val="baseline"/>
              <w:rPr>
                <w:rFonts w:ascii="Arial" w:eastAsia="Times New Roman" w:hAnsi="Arial" w:cs="Arial"/>
                <w:sz w:val="16"/>
                <w:szCs w:val="16"/>
              </w:rPr>
            </w:pPr>
            <w:r w:rsidRPr="00E94B03">
              <w:rPr>
                <w:rFonts w:ascii="Arial" w:eastAsia="Times New Roman" w:hAnsi="Arial" w:cs="Arial"/>
                <w:sz w:val="16"/>
                <w:szCs w:val="16"/>
              </w:rPr>
              <w:t>OUI</w:t>
            </w:r>
          </w:p>
        </w:tc>
        <w:tc>
          <w:tcPr>
            <w:tcW w:w="1418" w:type="dxa"/>
          </w:tcPr>
          <w:p w14:paraId="75A7FD69" w14:textId="77777777" w:rsidR="007B2475" w:rsidRPr="00E94B03" w:rsidRDefault="007B2475" w:rsidP="00DD4A2F">
            <w:pPr>
              <w:overflowPunct w:val="0"/>
              <w:autoSpaceDE w:val="0"/>
              <w:autoSpaceDN w:val="0"/>
              <w:adjustRightInd w:val="0"/>
              <w:spacing w:after="200" w:line="276" w:lineRule="auto"/>
              <w:textAlignment w:val="baseline"/>
              <w:rPr>
                <w:rFonts w:ascii="Arial" w:eastAsia="Times New Roman" w:hAnsi="Arial" w:cs="Arial"/>
                <w:sz w:val="16"/>
                <w:szCs w:val="16"/>
              </w:rPr>
            </w:pPr>
            <w:r w:rsidRPr="00E94B03">
              <w:rPr>
                <w:rFonts w:ascii="Arial" w:eastAsia="Times New Roman" w:hAnsi="Arial" w:cs="Arial"/>
                <w:sz w:val="16"/>
                <w:szCs w:val="16"/>
              </w:rPr>
              <w:t xml:space="preserve">OUI </w:t>
            </w:r>
          </w:p>
        </w:tc>
        <w:tc>
          <w:tcPr>
            <w:tcW w:w="1276" w:type="dxa"/>
          </w:tcPr>
          <w:p w14:paraId="75A7FD6A" w14:textId="136282E0" w:rsidR="007B2475" w:rsidRPr="00E94B03" w:rsidRDefault="00E94B03" w:rsidP="00652BFD">
            <w:pPr>
              <w:overflowPunct w:val="0"/>
              <w:autoSpaceDE w:val="0"/>
              <w:autoSpaceDN w:val="0"/>
              <w:adjustRightInd w:val="0"/>
              <w:spacing w:after="200" w:line="276" w:lineRule="auto"/>
              <w:textAlignment w:val="baseline"/>
              <w:rPr>
                <w:rFonts w:ascii="Arial" w:eastAsia="Times New Roman" w:hAnsi="Arial" w:cs="Arial"/>
                <w:sz w:val="16"/>
                <w:szCs w:val="16"/>
              </w:rPr>
            </w:pPr>
            <w:r w:rsidRPr="00E94B03">
              <w:rPr>
                <w:rFonts w:ascii="Arial" w:eastAsia="Times New Roman" w:hAnsi="Arial" w:cs="Arial"/>
                <w:sz w:val="16"/>
                <w:szCs w:val="16"/>
              </w:rPr>
              <w:t>OUI</w:t>
            </w:r>
          </w:p>
        </w:tc>
        <w:tc>
          <w:tcPr>
            <w:tcW w:w="1417" w:type="dxa"/>
          </w:tcPr>
          <w:p w14:paraId="75A7FD6B" w14:textId="454387D8" w:rsidR="007B2475" w:rsidRPr="00E94B03" w:rsidRDefault="00E94B03" w:rsidP="00652BFD">
            <w:pPr>
              <w:overflowPunct w:val="0"/>
              <w:autoSpaceDE w:val="0"/>
              <w:autoSpaceDN w:val="0"/>
              <w:adjustRightInd w:val="0"/>
              <w:spacing w:after="200" w:line="276" w:lineRule="auto"/>
              <w:textAlignment w:val="baseline"/>
              <w:rPr>
                <w:rFonts w:ascii="Arial" w:eastAsia="Times New Roman" w:hAnsi="Arial" w:cs="Arial"/>
                <w:sz w:val="16"/>
                <w:szCs w:val="16"/>
              </w:rPr>
            </w:pPr>
            <w:r w:rsidRPr="00E94B03">
              <w:rPr>
                <w:rFonts w:ascii="Arial" w:eastAsia="Times New Roman" w:hAnsi="Arial" w:cs="Arial"/>
                <w:sz w:val="16"/>
                <w:szCs w:val="16"/>
              </w:rPr>
              <w:t>OUI</w:t>
            </w:r>
          </w:p>
        </w:tc>
        <w:tc>
          <w:tcPr>
            <w:tcW w:w="1843" w:type="dxa"/>
          </w:tcPr>
          <w:p w14:paraId="75A7FD6C" w14:textId="77777777" w:rsidR="007B2475" w:rsidRPr="00E94B03" w:rsidRDefault="007B2475" w:rsidP="00652BFD">
            <w:pPr>
              <w:overflowPunct w:val="0"/>
              <w:autoSpaceDE w:val="0"/>
              <w:autoSpaceDN w:val="0"/>
              <w:adjustRightInd w:val="0"/>
              <w:spacing w:after="200" w:line="276" w:lineRule="auto"/>
              <w:textAlignment w:val="baseline"/>
              <w:rPr>
                <w:rFonts w:ascii="Arial" w:eastAsia="Times New Roman" w:hAnsi="Arial" w:cs="Arial"/>
                <w:sz w:val="16"/>
                <w:szCs w:val="16"/>
              </w:rPr>
            </w:pPr>
            <w:r w:rsidRPr="00E94B03">
              <w:rPr>
                <w:rFonts w:ascii="Arial" w:eastAsia="Times New Roman" w:hAnsi="Arial" w:cs="Arial"/>
                <w:sz w:val="16"/>
                <w:szCs w:val="16"/>
              </w:rPr>
              <w:t>OUI</w:t>
            </w:r>
          </w:p>
        </w:tc>
        <w:tc>
          <w:tcPr>
            <w:tcW w:w="1559" w:type="dxa"/>
          </w:tcPr>
          <w:p w14:paraId="75A7FD6D"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3111" w:type="dxa"/>
          </w:tcPr>
          <w:p w14:paraId="75A7FD6E" w14:textId="41C55590" w:rsidR="007B2475" w:rsidRPr="001A67C3" w:rsidRDefault="005142F7" w:rsidP="005142F7">
            <w:pPr>
              <w:overflowPunct w:val="0"/>
              <w:autoSpaceDE w:val="0"/>
              <w:autoSpaceDN w:val="0"/>
              <w:adjustRightInd w:val="0"/>
              <w:textAlignment w:val="baseline"/>
              <w:rPr>
                <w:rFonts w:ascii="Arial" w:eastAsia="Times New Roman" w:hAnsi="Arial" w:cs="Arial"/>
                <w:sz w:val="16"/>
                <w:szCs w:val="16"/>
              </w:rPr>
            </w:pPr>
            <w:r>
              <w:rPr>
                <w:rFonts w:ascii="Arial" w:eastAsia="Times New Roman" w:hAnsi="Arial" w:cs="Arial"/>
                <w:sz w:val="16"/>
                <w:szCs w:val="16"/>
              </w:rPr>
              <w:t>L’intermédiaire à l’initiative de l’opération fournit à l’AMF, l’ensemble des  communications à caractère promotionnel de l’ensemble des intermédiaires intervenant dans l’opération. Les intermédiaires, autres que l’initiateur de l’opération doivent donc  lui fournir les communications à caractère promotionnel qu’ils utilisent afin que l’initiateur puisse remplir son obligation réglementaire.</w:t>
            </w:r>
          </w:p>
        </w:tc>
      </w:tr>
      <w:tr w:rsidR="00F00D5A" w:rsidRPr="001A67C3" w14:paraId="75BDBCF6" w14:textId="77777777" w:rsidTr="00F00D5A">
        <w:tc>
          <w:tcPr>
            <w:tcW w:w="1809" w:type="dxa"/>
            <w:shd w:val="clear" w:color="auto" w:fill="808080" w:themeFill="background1" w:themeFillShade="80"/>
          </w:tcPr>
          <w:p w14:paraId="10A2C591" w14:textId="32AAC7B1" w:rsidR="00F00D5A" w:rsidRPr="002447F0" w:rsidRDefault="00F00D5A" w:rsidP="00432C63">
            <w:pPr>
              <w:overflowPunct w:val="0"/>
              <w:autoSpaceDE w:val="0"/>
              <w:autoSpaceDN w:val="0"/>
              <w:adjustRightInd w:val="0"/>
              <w:textAlignment w:val="baseline"/>
              <w:rPr>
                <w:rFonts w:ascii="Arial" w:eastAsia="Times New Roman" w:hAnsi="Arial" w:cs="Arial"/>
                <w:b/>
                <w:sz w:val="16"/>
                <w:szCs w:val="16"/>
              </w:rPr>
            </w:pPr>
            <w:r>
              <w:rPr>
                <w:rFonts w:ascii="Arial" w:eastAsia="Times New Roman" w:hAnsi="Arial" w:cs="Arial"/>
                <w:b/>
                <w:sz w:val="16"/>
                <w:szCs w:val="16"/>
              </w:rPr>
              <w:t>Chapitre 3 de l’instruction</w:t>
            </w:r>
          </w:p>
        </w:tc>
        <w:tc>
          <w:tcPr>
            <w:tcW w:w="1134" w:type="dxa"/>
            <w:shd w:val="clear" w:color="auto" w:fill="808080" w:themeFill="background1" w:themeFillShade="80"/>
          </w:tcPr>
          <w:p w14:paraId="4F820658" w14:textId="77777777" w:rsidR="00F00D5A" w:rsidRPr="00E94B03" w:rsidRDefault="00F00D5A" w:rsidP="00652BFD">
            <w:pPr>
              <w:overflowPunct w:val="0"/>
              <w:autoSpaceDE w:val="0"/>
              <w:autoSpaceDN w:val="0"/>
              <w:adjustRightInd w:val="0"/>
              <w:textAlignment w:val="baseline"/>
              <w:rPr>
                <w:rFonts w:ascii="Arial" w:eastAsia="Times New Roman" w:hAnsi="Arial" w:cs="Arial"/>
                <w:sz w:val="16"/>
                <w:szCs w:val="16"/>
              </w:rPr>
            </w:pPr>
          </w:p>
        </w:tc>
        <w:tc>
          <w:tcPr>
            <w:tcW w:w="1418" w:type="dxa"/>
            <w:shd w:val="clear" w:color="auto" w:fill="808080" w:themeFill="background1" w:themeFillShade="80"/>
          </w:tcPr>
          <w:p w14:paraId="4A3A406D" w14:textId="77777777" w:rsidR="00F00D5A" w:rsidRPr="00E94B03" w:rsidRDefault="00F00D5A" w:rsidP="00DD4A2F">
            <w:pPr>
              <w:overflowPunct w:val="0"/>
              <w:autoSpaceDE w:val="0"/>
              <w:autoSpaceDN w:val="0"/>
              <w:adjustRightInd w:val="0"/>
              <w:textAlignment w:val="baseline"/>
              <w:rPr>
                <w:rFonts w:ascii="Arial" w:eastAsia="Times New Roman" w:hAnsi="Arial" w:cs="Arial"/>
                <w:sz w:val="16"/>
                <w:szCs w:val="16"/>
              </w:rPr>
            </w:pPr>
          </w:p>
        </w:tc>
        <w:tc>
          <w:tcPr>
            <w:tcW w:w="1276" w:type="dxa"/>
            <w:shd w:val="clear" w:color="auto" w:fill="808080" w:themeFill="background1" w:themeFillShade="80"/>
          </w:tcPr>
          <w:p w14:paraId="37C66300" w14:textId="77777777" w:rsidR="00F00D5A" w:rsidRPr="00E94B03" w:rsidRDefault="00F00D5A" w:rsidP="00652BFD">
            <w:pPr>
              <w:overflowPunct w:val="0"/>
              <w:autoSpaceDE w:val="0"/>
              <w:autoSpaceDN w:val="0"/>
              <w:adjustRightInd w:val="0"/>
              <w:textAlignment w:val="baseline"/>
              <w:rPr>
                <w:rFonts w:ascii="Arial" w:eastAsia="Times New Roman" w:hAnsi="Arial" w:cs="Arial"/>
                <w:sz w:val="16"/>
                <w:szCs w:val="16"/>
              </w:rPr>
            </w:pPr>
          </w:p>
        </w:tc>
        <w:tc>
          <w:tcPr>
            <w:tcW w:w="1417" w:type="dxa"/>
            <w:shd w:val="clear" w:color="auto" w:fill="808080" w:themeFill="background1" w:themeFillShade="80"/>
          </w:tcPr>
          <w:p w14:paraId="50D0C2D4" w14:textId="77777777" w:rsidR="00F00D5A" w:rsidRPr="00E94B03" w:rsidRDefault="00F00D5A" w:rsidP="00652BFD">
            <w:pPr>
              <w:overflowPunct w:val="0"/>
              <w:autoSpaceDE w:val="0"/>
              <w:autoSpaceDN w:val="0"/>
              <w:adjustRightInd w:val="0"/>
              <w:textAlignment w:val="baseline"/>
              <w:rPr>
                <w:rFonts w:ascii="Arial" w:eastAsia="Times New Roman" w:hAnsi="Arial" w:cs="Arial"/>
                <w:sz w:val="16"/>
                <w:szCs w:val="16"/>
              </w:rPr>
            </w:pPr>
          </w:p>
        </w:tc>
        <w:tc>
          <w:tcPr>
            <w:tcW w:w="1843" w:type="dxa"/>
            <w:shd w:val="clear" w:color="auto" w:fill="808080" w:themeFill="background1" w:themeFillShade="80"/>
          </w:tcPr>
          <w:p w14:paraId="73CF11F5" w14:textId="77777777" w:rsidR="00F00D5A" w:rsidRPr="00E94B03" w:rsidRDefault="00F00D5A" w:rsidP="00652BFD">
            <w:pPr>
              <w:overflowPunct w:val="0"/>
              <w:autoSpaceDE w:val="0"/>
              <w:autoSpaceDN w:val="0"/>
              <w:adjustRightInd w:val="0"/>
              <w:textAlignment w:val="baseline"/>
              <w:rPr>
                <w:rFonts w:ascii="Arial" w:eastAsia="Times New Roman" w:hAnsi="Arial" w:cs="Arial"/>
                <w:sz w:val="16"/>
                <w:szCs w:val="16"/>
              </w:rPr>
            </w:pPr>
          </w:p>
        </w:tc>
        <w:tc>
          <w:tcPr>
            <w:tcW w:w="1559" w:type="dxa"/>
            <w:shd w:val="clear" w:color="auto" w:fill="808080" w:themeFill="background1" w:themeFillShade="80"/>
          </w:tcPr>
          <w:p w14:paraId="69F0E720" w14:textId="77777777" w:rsidR="00F00D5A" w:rsidRPr="001A67C3" w:rsidRDefault="00F00D5A" w:rsidP="00652BFD">
            <w:pPr>
              <w:overflowPunct w:val="0"/>
              <w:autoSpaceDE w:val="0"/>
              <w:autoSpaceDN w:val="0"/>
              <w:adjustRightInd w:val="0"/>
              <w:textAlignment w:val="baseline"/>
              <w:rPr>
                <w:rFonts w:ascii="Arial" w:eastAsia="Times New Roman" w:hAnsi="Arial" w:cs="Arial"/>
                <w:sz w:val="16"/>
                <w:szCs w:val="16"/>
              </w:rPr>
            </w:pPr>
          </w:p>
        </w:tc>
        <w:tc>
          <w:tcPr>
            <w:tcW w:w="3111" w:type="dxa"/>
            <w:shd w:val="clear" w:color="auto" w:fill="808080" w:themeFill="background1" w:themeFillShade="80"/>
          </w:tcPr>
          <w:p w14:paraId="59DFB208" w14:textId="77777777" w:rsidR="00F00D5A" w:rsidRDefault="00F00D5A" w:rsidP="005142F7">
            <w:pPr>
              <w:overflowPunct w:val="0"/>
              <w:autoSpaceDE w:val="0"/>
              <w:autoSpaceDN w:val="0"/>
              <w:adjustRightInd w:val="0"/>
              <w:textAlignment w:val="baseline"/>
              <w:rPr>
                <w:rFonts w:ascii="Arial" w:eastAsia="Times New Roman" w:hAnsi="Arial" w:cs="Arial"/>
                <w:sz w:val="16"/>
                <w:szCs w:val="16"/>
              </w:rPr>
            </w:pPr>
          </w:p>
        </w:tc>
      </w:tr>
      <w:tr w:rsidR="003131BA" w14:paraId="465790D4" w14:textId="77777777" w:rsidTr="00A72C21">
        <w:tc>
          <w:tcPr>
            <w:tcW w:w="1809" w:type="dxa"/>
            <w:shd w:val="clear" w:color="auto" w:fill="FFFFFF" w:themeFill="background1"/>
          </w:tcPr>
          <w:p w14:paraId="52F80D10" w14:textId="042A8401" w:rsidR="005142F7" w:rsidRDefault="00F00D5A" w:rsidP="002D4791">
            <w:pPr>
              <w:overflowPunct w:val="0"/>
              <w:autoSpaceDE w:val="0"/>
              <w:autoSpaceDN w:val="0"/>
              <w:adjustRightInd w:val="0"/>
              <w:textAlignment w:val="baseline"/>
              <w:rPr>
                <w:rFonts w:ascii="Arial" w:eastAsia="Times New Roman" w:hAnsi="Arial" w:cs="Arial"/>
                <w:b/>
                <w:sz w:val="16"/>
                <w:szCs w:val="16"/>
              </w:rPr>
            </w:pPr>
            <w:r>
              <w:rPr>
                <w:rFonts w:ascii="Arial" w:eastAsia="Times New Roman" w:hAnsi="Arial" w:cs="Arial"/>
                <w:b/>
                <w:sz w:val="16"/>
                <w:szCs w:val="16"/>
              </w:rPr>
              <w:t xml:space="preserve">Article 14 - </w:t>
            </w:r>
            <w:r w:rsidR="003131BA">
              <w:rPr>
                <w:rFonts w:ascii="Arial" w:eastAsia="Times New Roman" w:hAnsi="Arial" w:cs="Arial"/>
                <w:b/>
                <w:sz w:val="16"/>
                <w:szCs w:val="16"/>
              </w:rPr>
              <w:t>Respect des obligations portant sur les communicat</w:t>
            </w:r>
            <w:r w:rsidR="00432C63">
              <w:rPr>
                <w:rFonts w:ascii="Arial" w:eastAsia="Times New Roman" w:hAnsi="Arial" w:cs="Arial"/>
                <w:b/>
                <w:sz w:val="16"/>
                <w:szCs w:val="16"/>
              </w:rPr>
              <w:t>ions à caractère promotionnel</w:t>
            </w:r>
            <w:r w:rsidR="003131BA">
              <w:rPr>
                <w:rFonts w:ascii="Arial" w:eastAsia="Times New Roman" w:hAnsi="Arial" w:cs="Arial"/>
                <w:b/>
                <w:sz w:val="16"/>
                <w:szCs w:val="16"/>
              </w:rPr>
              <w:t xml:space="preserve"> sur les offres de biens divers telles que visées au III de l’article L. 550-1 du code monétaire et </w:t>
            </w:r>
            <w:r w:rsidR="002D4791">
              <w:rPr>
                <w:rFonts w:ascii="Arial" w:eastAsia="Times New Roman" w:hAnsi="Arial" w:cs="Arial"/>
                <w:b/>
                <w:sz w:val="16"/>
                <w:szCs w:val="16"/>
              </w:rPr>
              <w:t xml:space="preserve">financier </w:t>
            </w:r>
          </w:p>
          <w:p w14:paraId="6E16D6D5" w14:textId="77777777" w:rsidR="002D4791" w:rsidRDefault="002D4791" w:rsidP="002D4791">
            <w:pPr>
              <w:overflowPunct w:val="0"/>
              <w:autoSpaceDE w:val="0"/>
              <w:autoSpaceDN w:val="0"/>
              <w:adjustRightInd w:val="0"/>
              <w:textAlignment w:val="baseline"/>
              <w:rPr>
                <w:rFonts w:ascii="Arial" w:eastAsia="Times New Roman" w:hAnsi="Arial" w:cs="Arial"/>
                <w:b/>
                <w:sz w:val="16"/>
                <w:szCs w:val="16"/>
              </w:rPr>
            </w:pPr>
          </w:p>
          <w:p w14:paraId="403F99ED" w14:textId="4DEFFB02" w:rsidR="005142F7" w:rsidRPr="002447F0" w:rsidRDefault="005142F7" w:rsidP="002D4791">
            <w:pPr>
              <w:overflowPunct w:val="0"/>
              <w:autoSpaceDE w:val="0"/>
              <w:autoSpaceDN w:val="0"/>
              <w:adjustRightInd w:val="0"/>
              <w:textAlignment w:val="baseline"/>
              <w:rPr>
                <w:rFonts w:ascii="Arial" w:eastAsia="Times New Roman" w:hAnsi="Arial" w:cs="Arial"/>
                <w:b/>
                <w:sz w:val="16"/>
                <w:szCs w:val="16"/>
              </w:rPr>
            </w:pPr>
          </w:p>
        </w:tc>
        <w:tc>
          <w:tcPr>
            <w:tcW w:w="1134" w:type="dxa"/>
            <w:shd w:val="clear" w:color="auto" w:fill="FFFFFF" w:themeFill="background1"/>
          </w:tcPr>
          <w:p w14:paraId="6300DCFB" w14:textId="77777777" w:rsidR="003131BA" w:rsidRDefault="003131BA" w:rsidP="002D4791">
            <w:pPr>
              <w:overflowPunct w:val="0"/>
              <w:autoSpaceDE w:val="0"/>
              <w:autoSpaceDN w:val="0"/>
              <w:adjustRightInd w:val="0"/>
              <w:textAlignment w:val="baseline"/>
              <w:rPr>
                <w:rFonts w:ascii="Arial" w:eastAsia="Times New Roman" w:hAnsi="Arial" w:cs="Arial"/>
                <w:sz w:val="16"/>
                <w:szCs w:val="16"/>
              </w:rPr>
            </w:pPr>
            <w:r>
              <w:rPr>
                <w:rFonts w:ascii="Arial" w:eastAsia="Times New Roman" w:hAnsi="Arial" w:cs="Arial"/>
                <w:sz w:val="16"/>
                <w:szCs w:val="16"/>
              </w:rPr>
              <w:t>OUI</w:t>
            </w:r>
          </w:p>
        </w:tc>
        <w:tc>
          <w:tcPr>
            <w:tcW w:w="1418" w:type="dxa"/>
            <w:shd w:val="clear" w:color="auto" w:fill="FFFFFF" w:themeFill="background1"/>
          </w:tcPr>
          <w:p w14:paraId="332A78C1" w14:textId="77777777" w:rsidR="003131BA" w:rsidRDefault="003131BA" w:rsidP="002D4791">
            <w:pPr>
              <w:overflowPunct w:val="0"/>
              <w:autoSpaceDE w:val="0"/>
              <w:autoSpaceDN w:val="0"/>
              <w:adjustRightInd w:val="0"/>
              <w:textAlignment w:val="baseline"/>
              <w:rPr>
                <w:rFonts w:ascii="Arial" w:eastAsia="Times New Roman" w:hAnsi="Arial" w:cs="Arial"/>
                <w:sz w:val="16"/>
                <w:szCs w:val="16"/>
              </w:rPr>
            </w:pPr>
            <w:r>
              <w:rPr>
                <w:rFonts w:ascii="Arial" w:eastAsia="Times New Roman" w:hAnsi="Arial" w:cs="Arial"/>
                <w:sz w:val="16"/>
                <w:szCs w:val="16"/>
              </w:rPr>
              <w:t>OUI</w:t>
            </w:r>
          </w:p>
        </w:tc>
        <w:tc>
          <w:tcPr>
            <w:tcW w:w="1276" w:type="dxa"/>
            <w:shd w:val="clear" w:color="auto" w:fill="FFFFFF" w:themeFill="background1"/>
          </w:tcPr>
          <w:p w14:paraId="7F674958" w14:textId="77777777" w:rsidR="003131BA" w:rsidRDefault="003131BA" w:rsidP="002D4791">
            <w:pPr>
              <w:overflowPunct w:val="0"/>
              <w:autoSpaceDE w:val="0"/>
              <w:autoSpaceDN w:val="0"/>
              <w:adjustRightInd w:val="0"/>
              <w:textAlignment w:val="baseline"/>
              <w:rPr>
                <w:rFonts w:ascii="Arial" w:eastAsia="Times New Roman" w:hAnsi="Arial" w:cs="Arial"/>
                <w:sz w:val="16"/>
                <w:szCs w:val="16"/>
              </w:rPr>
            </w:pPr>
            <w:r>
              <w:rPr>
                <w:rFonts w:ascii="Arial" w:eastAsia="Times New Roman" w:hAnsi="Arial" w:cs="Arial"/>
                <w:sz w:val="16"/>
                <w:szCs w:val="16"/>
              </w:rPr>
              <w:t>OUI</w:t>
            </w:r>
          </w:p>
        </w:tc>
        <w:tc>
          <w:tcPr>
            <w:tcW w:w="1417" w:type="dxa"/>
            <w:shd w:val="clear" w:color="auto" w:fill="FFFFFF" w:themeFill="background1"/>
          </w:tcPr>
          <w:p w14:paraId="3875AEE1" w14:textId="77777777" w:rsidR="003131BA" w:rsidRDefault="003131BA" w:rsidP="002D4791">
            <w:pPr>
              <w:overflowPunct w:val="0"/>
              <w:autoSpaceDE w:val="0"/>
              <w:autoSpaceDN w:val="0"/>
              <w:adjustRightInd w:val="0"/>
              <w:textAlignment w:val="baseline"/>
              <w:rPr>
                <w:rFonts w:ascii="Arial" w:eastAsia="Times New Roman" w:hAnsi="Arial" w:cs="Arial"/>
                <w:sz w:val="16"/>
                <w:szCs w:val="16"/>
              </w:rPr>
            </w:pPr>
            <w:r>
              <w:rPr>
                <w:rFonts w:ascii="Arial" w:eastAsia="Times New Roman" w:hAnsi="Arial" w:cs="Arial"/>
                <w:sz w:val="16"/>
                <w:szCs w:val="16"/>
              </w:rPr>
              <w:t>OUI</w:t>
            </w:r>
          </w:p>
        </w:tc>
        <w:tc>
          <w:tcPr>
            <w:tcW w:w="1843" w:type="dxa"/>
            <w:shd w:val="clear" w:color="auto" w:fill="FFFFFF" w:themeFill="background1"/>
          </w:tcPr>
          <w:p w14:paraId="15C2B599" w14:textId="77777777" w:rsidR="003131BA" w:rsidRDefault="003131BA" w:rsidP="002D4791">
            <w:pPr>
              <w:overflowPunct w:val="0"/>
              <w:autoSpaceDE w:val="0"/>
              <w:autoSpaceDN w:val="0"/>
              <w:adjustRightInd w:val="0"/>
              <w:textAlignment w:val="baseline"/>
              <w:rPr>
                <w:rFonts w:ascii="Arial" w:eastAsia="Times New Roman" w:hAnsi="Arial" w:cs="Arial"/>
                <w:sz w:val="16"/>
                <w:szCs w:val="16"/>
              </w:rPr>
            </w:pPr>
            <w:r>
              <w:rPr>
                <w:rFonts w:ascii="Arial" w:eastAsia="Times New Roman" w:hAnsi="Arial" w:cs="Arial"/>
                <w:sz w:val="16"/>
                <w:szCs w:val="16"/>
              </w:rPr>
              <w:t>OUI</w:t>
            </w:r>
          </w:p>
        </w:tc>
        <w:tc>
          <w:tcPr>
            <w:tcW w:w="1559" w:type="dxa"/>
            <w:shd w:val="clear" w:color="auto" w:fill="FFFFFF" w:themeFill="background1"/>
          </w:tcPr>
          <w:p w14:paraId="69BD6979" w14:textId="77777777" w:rsidR="003131BA" w:rsidRDefault="003131BA" w:rsidP="002D4791">
            <w:pPr>
              <w:overflowPunct w:val="0"/>
              <w:autoSpaceDE w:val="0"/>
              <w:autoSpaceDN w:val="0"/>
              <w:adjustRightInd w:val="0"/>
              <w:textAlignment w:val="baseline"/>
              <w:rPr>
                <w:rFonts w:ascii="Arial" w:eastAsia="Times New Roman" w:hAnsi="Arial" w:cs="Arial"/>
                <w:sz w:val="16"/>
                <w:szCs w:val="16"/>
              </w:rPr>
            </w:pPr>
            <w:r>
              <w:rPr>
                <w:rFonts w:ascii="Arial" w:eastAsia="Times New Roman" w:hAnsi="Arial" w:cs="Arial"/>
                <w:sz w:val="16"/>
                <w:szCs w:val="16"/>
              </w:rPr>
              <w:t>OUI</w:t>
            </w:r>
          </w:p>
        </w:tc>
        <w:tc>
          <w:tcPr>
            <w:tcW w:w="3111" w:type="dxa"/>
            <w:shd w:val="clear" w:color="auto" w:fill="FFFFFF" w:themeFill="background1"/>
          </w:tcPr>
          <w:p w14:paraId="22843E52" w14:textId="77777777" w:rsidR="003131BA" w:rsidRDefault="003131BA" w:rsidP="002D4791">
            <w:pPr>
              <w:overflowPunct w:val="0"/>
              <w:autoSpaceDE w:val="0"/>
              <w:autoSpaceDN w:val="0"/>
              <w:adjustRightInd w:val="0"/>
              <w:textAlignment w:val="baseline"/>
              <w:rPr>
                <w:rFonts w:ascii="Arial" w:eastAsia="Times New Roman" w:hAnsi="Arial" w:cs="Arial"/>
                <w:sz w:val="16"/>
                <w:szCs w:val="16"/>
              </w:rPr>
            </w:pPr>
            <w:r>
              <w:rPr>
                <w:rFonts w:ascii="Arial" w:eastAsia="Times New Roman" w:hAnsi="Arial" w:cs="Arial"/>
                <w:sz w:val="16"/>
                <w:szCs w:val="16"/>
              </w:rPr>
              <w:t>N/A</w:t>
            </w:r>
          </w:p>
        </w:tc>
      </w:tr>
      <w:tr w:rsidR="005142F7" w:rsidRPr="001A67C3" w14:paraId="6430D15A" w14:textId="77777777" w:rsidTr="005142F7">
        <w:tc>
          <w:tcPr>
            <w:tcW w:w="1809" w:type="dxa"/>
            <w:shd w:val="clear" w:color="auto" w:fill="808080" w:themeFill="background1" w:themeFillShade="80"/>
          </w:tcPr>
          <w:p w14:paraId="11C281CA" w14:textId="346FF33F" w:rsidR="005142F7" w:rsidRPr="002447F0" w:rsidRDefault="005142F7" w:rsidP="00641693">
            <w:pPr>
              <w:overflowPunct w:val="0"/>
              <w:autoSpaceDE w:val="0"/>
              <w:autoSpaceDN w:val="0"/>
              <w:adjustRightInd w:val="0"/>
              <w:textAlignment w:val="baseline"/>
              <w:rPr>
                <w:rFonts w:ascii="Arial" w:eastAsia="Times New Roman" w:hAnsi="Arial" w:cs="Arial"/>
                <w:b/>
                <w:sz w:val="16"/>
                <w:szCs w:val="16"/>
              </w:rPr>
            </w:pPr>
            <w:r>
              <w:rPr>
                <w:rFonts w:ascii="Arial" w:eastAsia="Times New Roman" w:hAnsi="Arial" w:cs="Arial"/>
                <w:b/>
                <w:sz w:val="16"/>
                <w:szCs w:val="16"/>
              </w:rPr>
              <w:t>Chapitre 4 de l’instruction</w:t>
            </w:r>
          </w:p>
        </w:tc>
        <w:tc>
          <w:tcPr>
            <w:tcW w:w="1134" w:type="dxa"/>
            <w:shd w:val="clear" w:color="auto" w:fill="808080" w:themeFill="background1" w:themeFillShade="80"/>
          </w:tcPr>
          <w:p w14:paraId="6DF9D110" w14:textId="77777777" w:rsidR="005142F7" w:rsidRPr="001A67C3" w:rsidRDefault="005142F7" w:rsidP="00652BFD">
            <w:pPr>
              <w:overflowPunct w:val="0"/>
              <w:autoSpaceDE w:val="0"/>
              <w:autoSpaceDN w:val="0"/>
              <w:adjustRightInd w:val="0"/>
              <w:textAlignment w:val="baseline"/>
              <w:rPr>
                <w:rFonts w:ascii="Arial" w:eastAsia="Times New Roman" w:hAnsi="Arial" w:cs="Arial"/>
                <w:sz w:val="16"/>
                <w:szCs w:val="16"/>
              </w:rPr>
            </w:pPr>
          </w:p>
        </w:tc>
        <w:tc>
          <w:tcPr>
            <w:tcW w:w="1418" w:type="dxa"/>
            <w:shd w:val="clear" w:color="auto" w:fill="808080" w:themeFill="background1" w:themeFillShade="80"/>
          </w:tcPr>
          <w:p w14:paraId="23D632DF" w14:textId="77777777" w:rsidR="005142F7" w:rsidRPr="001A67C3" w:rsidRDefault="005142F7" w:rsidP="00DD4A2F">
            <w:pPr>
              <w:overflowPunct w:val="0"/>
              <w:autoSpaceDE w:val="0"/>
              <w:autoSpaceDN w:val="0"/>
              <w:adjustRightInd w:val="0"/>
              <w:textAlignment w:val="baseline"/>
              <w:rPr>
                <w:rFonts w:ascii="Arial" w:eastAsia="Times New Roman" w:hAnsi="Arial" w:cs="Arial"/>
                <w:sz w:val="16"/>
                <w:szCs w:val="16"/>
              </w:rPr>
            </w:pPr>
          </w:p>
        </w:tc>
        <w:tc>
          <w:tcPr>
            <w:tcW w:w="1276" w:type="dxa"/>
            <w:shd w:val="clear" w:color="auto" w:fill="808080" w:themeFill="background1" w:themeFillShade="80"/>
          </w:tcPr>
          <w:p w14:paraId="6B6A69C1" w14:textId="77777777" w:rsidR="005142F7" w:rsidRPr="001A67C3" w:rsidRDefault="005142F7" w:rsidP="00652BFD">
            <w:pPr>
              <w:overflowPunct w:val="0"/>
              <w:autoSpaceDE w:val="0"/>
              <w:autoSpaceDN w:val="0"/>
              <w:adjustRightInd w:val="0"/>
              <w:textAlignment w:val="baseline"/>
              <w:rPr>
                <w:rFonts w:ascii="Arial" w:eastAsia="Times New Roman" w:hAnsi="Arial" w:cs="Arial"/>
                <w:sz w:val="16"/>
                <w:szCs w:val="16"/>
              </w:rPr>
            </w:pPr>
          </w:p>
        </w:tc>
        <w:tc>
          <w:tcPr>
            <w:tcW w:w="1417" w:type="dxa"/>
            <w:shd w:val="clear" w:color="auto" w:fill="808080" w:themeFill="background1" w:themeFillShade="80"/>
          </w:tcPr>
          <w:p w14:paraId="6C67FBA9" w14:textId="77777777" w:rsidR="005142F7" w:rsidRPr="001A67C3" w:rsidRDefault="005142F7" w:rsidP="00652BFD">
            <w:pPr>
              <w:overflowPunct w:val="0"/>
              <w:autoSpaceDE w:val="0"/>
              <w:autoSpaceDN w:val="0"/>
              <w:adjustRightInd w:val="0"/>
              <w:textAlignment w:val="baseline"/>
              <w:rPr>
                <w:rFonts w:ascii="Arial" w:eastAsia="Times New Roman" w:hAnsi="Arial" w:cs="Arial"/>
                <w:sz w:val="16"/>
                <w:szCs w:val="16"/>
              </w:rPr>
            </w:pPr>
          </w:p>
        </w:tc>
        <w:tc>
          <w:tcPr>
            <w:tcW w:w="1843" w:type="dxa"/>
            <w:shd w:val="clear" w:color="auto" w:fill="808080" w:themeFill="background1" w:themeFillShade="80"/>
          </w:tcPr>
          <w:p w14:paraId="6C2E679F" w14:textId="77777777" w:rsidR="005142F7" w:rsidRPr="001A67C3" w:rsidRDefault="005142F7" w:rsidP="00652BFD">
            <w:pPr>
              <w:overflowPunct w:val="0"/>
              <w:autoSpaceDE w:val="0"/>
              <w:autoSpaceDN w:val="0"/>
              <w:adjustRightInd w:val="0"/>
              <w:textAlignment w:val="baseline"/>
              <w:rPr>
                <w:rFonts w:ascii="Arial" w:eastAsia="Times New Roman" w:hAnsi="Arial" w:cs="Arial"/>
                <w:sz w:val="16"/>
                <w:szCs w:val="16"/>
              </w:rPr>
            </w:pPr>
          </w:p>
        </w:tc>
        <w:tc>
          <w:tcPr>
            <w:tcW w:w="1559" w:type="dxa"/>
            <w:shd w:val="clear" w:color="auto" w:fill="808080" w:themeFill="background1" w:themeFillShade="80"/>
          </w:tcPr>
          <w:p w14:paraId="4B4A27E3" w14:textId="77777777" w:rsidR="005142F7" w:rsidRPr="001A67C3" w:rsidRDefault="005142F7" w:rsidP="00652BFD">
            <w:pPr>
              <w:overflowPunct w:val="0"/>
              <w:autoSpaceDE w:val="0"/>
              <w:autoSpaceDN w:val="0"/>
              <w:adjustRightInd w:val="0"/>
              <w:textAlignment w:val="baseline"/>
              <w:rPr>
                <w:rFonts w:ascii="Arial" w:eastAsia="Times New Roman" w:hAnsi="Arial" w:cs="Arial"/>
                <w:sz w:val="16"/>
                <w:szCs w:val="16"/>
              </w:rPr>
            </w:pPr>
          </w:p>
        </w:tc>
        <w:tc>
          <w:tcPr>
            <w:tcW w:w="3111" w:type="dxa"/>
            <w:shd w:val="clear" w:color="auto" w:fill="808080" w:themeFill="background1" w:themeFillShade="80"/>
          </w:tcPr>
          <w:p w14:paraId="76E9034E" w14:textId="77777777" w:rsidR="005142F7" w:rsidRPr="001A67C3" w:rsidRDefault="005142F7" w:rsidP="00641693">
            <w:pPr>
              <w:overflowPunct w:val="0"/>
              <w:autoSpaceDE w:val="0"/>
              <w:autoSpaceDN w:val="0"/>
              <w:adjustRightInd w:val="0"/>
              <w:textAlignment w:val="baseline"/>
              <w:rPr>
                <w:rFonts w:ascii="Arial" w:eastAsia="Times New Roman" w:hAnsi="Arial" w:cs="Arial"/>
                <w:sz w:val="16"/>
                <w:szCs w:val="16"/>
              </w:rPr>
            </w:pPr>
          </w:p>
        </w:tc>
      </w:tr>
      <w:tr w:rsidR="007B2475" w:rsidRPr="001A67C3" w14:paraId="75A7FD88" w14:textId="77777777" w:rsidTr="00A72C21">
        <w:tc>
          <w:tcPr>
            <w:tcW w:w="1809" w:type="dxa"/>
          </w:tcPr>
          <w:p w14:paraId="75A7FD78" w14:textId="229F23EC" w:rsidR="007B2475" w:rsidRPr="002447F0" w:rsidRDefault="00F00D5A" w:rsidP="005142F7">
            <w:pPr>
              <w:overflowPunct w:val="0"/>
              <w:autoSpaceDE w:val="0"/>
              <w:autoSpaceDN w:val="0"/>
              <w:adjustRightInd w:val="0"/>
              <w:textAlignment w:val="baseline"/>
              <w:rPr>
                <w:rFonts w:ascii="Arial" w:eastAsia="Times New Roman" w:hAnsi="Arial" w:cs="Arial"/>
                <w:b/>
                <w:sz w:val="16"/>
                <w:szCs w:val="16"/>
              </w:rPr>
            </w:pPr>
            <w:r>
              <w:rPr>
                <w:rFonts w:ascii="Arial" w:eastAsia="Times New Roman" w:hAnsi="Arial" w:cs="Arial"/>
                <w:b/>
                <w:sz w:val="16"/>
                <w:szCs w:val="16"/>
              </w:rPr>
              <w:t xml:space="preserve">Article 18 - </w:t>
            </w:r>
            <w:r w:rsidR="007B2475" w:rsidRPr="002447F0">
              <w:rPr>
                <w:rFonts w:ascii="Arial" w:eastAsia="Times New Roman" w:hAnsi="Arial" w:cs="Arial"/>
                <w:b/>
                <w:sz w:val="16"/>
                <w:szCs w:val="16"/>
              </w:rPr>
              <w:t xml:space="preserve">Evolution des conditions de l’offre et obligations afférentes </w:t>
            </w:r>
          </w:p>
        </w:tc>
        <w:tc>
          <w:tcPr>
            <w:tcW w:w="1134" w:type="dxa"/>
          </w:tcPr>
          <w:p w14:paraId="75A7FD79"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418" w:type="dxa"/>
          </w:tcPr>
          <w:p w14:paraId="75A7FD7A" w14:textId="77777777" w:rsidR="007B2475" w:rsidRPr="001A67C3" w:rsidRDefault="007B2475" w:rsidP="00DD4A2F">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276" w:type="dxa"/>
          </w:tcPr>
          <w:p w14:paraId="75A7FD7B"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417" w:type="dxa"/>
          </w:tcPr>
          <w:p w14:paraId="75A7FD7C"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1843" w:type="dxa"/>
          </w:tcPr>
          <w:p w14:paraId="75A7FD7D"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OUI</w:t>
            </w:r>
          </w:p>
        </w:tc>
        <w:tc>
          <w:tcPr>
            <w:tcW w:w="1559" w:type="dxa"/>
          </w:tcPr>
          <w:p w14:paraId="75A7FD7E"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NON</w:t>
            </w:r>
          </w:p>
        </w:tc>
        <w:tc>
          <w:tcPr>
            <w:tcW w:w="3111" w:type="dxa"/>
          </w:tcPr>
          <w:p w14:paraId="75A7FD7F" w14:textId="2421BAEB" w:rsidR="007B2475" w:rsidRPr="001A67C3" w:rsidRDefault="007B2475" w:rsidP="00641693">
            <w:pPr>
              <w:overflowPunct w:val="0"/>
              <w:autoSpaceDE w:val="0"/>
              <w:autoSpaceDN w:val="0"/>
              <w:adjustRightInd w:val="0"/>
              <w:textAlignment w:val="baseline"/>
              <w:rPr>
                <w:rFonts w:ascii="Arial" w:eastAsia="Times New Roman" w:hAnsi="Arial" w:cs="Arial"/>
                <w:sz w:val="16"/>
                <w:szCs w:val="16"/>
              </w:rPr>
            </w:pPr>
            <w:r w:rsidRPr="001A67C3">
              <w:rPr>
                <w:rFonts w:ascii="Arial" w:eastAsia="Times New Roman" w:hAnsi="Arial" w:cs="Arial"/>
                <w:sz w:val="16"/>
                <w:szCs w:val="16"/>
              </w:rPr>
              <w:t xml:space="preserve">L’intermédiaire visé au I 1° et au II de l’article L.550-1 du </w:t>
            </w:r>
            <w:r>
              <w:rPr>
                <w:rFonts w:ascii="Arial" w:eastAsia="Times New Roman" w:hAnsi="Arial" w:cs="Arial"/>
                <w:sz w:val="16"/>
                <w:szCs w:val="16"/>
              </w:rPr>
              <w:t>code monétaire et financier</w:t>
            </w:r>
            <w:r w:rsidRPr="001A67C3" w:rsidDel="0025699B">
              <w:rPr>
                <w:rFonts w:ascii="Arial" w:eastAsia="Times New Roman" w:hAnsi="Arial" w:cs="Arial"/>
                <w:sz w:val="16"/>
                <w:szCs w:val="16"/>
              </w:rPr>
              <w:t xml:space="preserve"> </w:t>
            </w:r>
            <w:r w:rsidRPr="001A67C3">
              <w:rPr>
                <w:rFonts w:ascii="Arial" w:eastAsia="Times New Roman" w:hAnsi="Arial" w:cs="Arial"/>
                <w:sz w:val="16"/>
                <w:szCs w:val="16"/>
              </w:rPr>
              <w:t>qui prend l’initiative de l’opération</w:t>
            </w:r>
          </w:p>
        </w:tc>
      </w:tr>
      <w:tr w:rsidR="007B2475" w:rsidRPr="001A67C3" w14:paraId="75A7FDBE" w14:textId="77777777" w:rsidTr="00A72C21">
        <w:tc>
          <w:tcPr>
            <w:tcW w:w="1809" w:type="dxa"/>
            <w:shd w:val="clear" w:color="auto" w:fill="808080" w:themeFill="background1" w:themeFillShade="80"/>
          </w:tcPr>
          <w:p w14:paraId="75A7FDB5"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sidRPr="002447F0">
              <w:rPr>
                <w:rFonts w:ascii="Arial" w:eastAsia="Times New Roman" w:hAnsi="Arial" w:cs="Arial"/>
                <w:b/>
                <w:sz w:val="16"/>
                <w:szCs w:val="16"/>
              </w:rPr>
              <w:t>Chapitre 5 de l’instruction</w:t>
            </w:r>
          </w:p>
        </w:tc>
        <w:tc>
          <w:tcPr>
            <w:tcW w:w="1134" w:type="dxa"/>
            <w:shd w:val="clear" w:color="auto" w:fill="808080" w:themeFill="background1" w:themeFillShade="80"/>
          </w:tcPr>
          <w:p w14:paraId="75A7FDB6"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418" w:type="dxa"/>
            <w:shd w:val="clear" w:color="auto" w:fill="808080" w:themeFill="background1" w:themeFillShade="80"/>
          </w:tcPr>
          <w:p w14:paraId="75A7FDB7"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276" w:type="dxa"/>
            <w:shd w:val="clear" w:color="auto" w:fill="808080" w:themeFill="background1" w:themeFillShade="80"/>
          </w:tcPr>
          <w:p w14:paraId="75A7FDB8"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417" w:type="dxa"/>
            <w:shd w:val="clear" w:color="auto" w:fill="808080" w:themeFill="background1" w:themeFillShade="80"/>
          </w:tcPr>
          <w:p w14:paraId="75A7FDB9"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843" w:type="dxa"/>
            <w:shd w:val="clear" w:color="auto" w:fill="808080" w:themeFill="background1" w:themeFillShade="80"/>
          </w:tcPr>
          <w:p w14:paraId="75A7FDBA"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559" w:type="dxa"/>
            <w:shd w:val="clear" w:color="auto" w:fill="808080" w:themeFill="background1" w:themeFillShade="80"/>
          </w:tcPr>
          <w:p w14:paraId="75A7FDBB"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3111" w:type="dxa"/>
            <w:shd w:val="clear" w:color="auto" w:fill="808080" w:themeFill="background1" w:themeFillShade="80"/>
          </w:tcPr>
          <w:p w14:paraId="75A7FDBC" w14:textId="77777777" w:rsidR="007B2475" w:rsidRPr="001A67C3" w:rsidRDefault="007B2475" w:rsidP="00641693">
            <w:pPr>
              <w:overflowPunct w:val="0"/>
              <w:autoSpaceDE w:val="0"/>
              <w:autoSpaceDN w:val="0"/>
              <w:adjustRightInd w:val="0"/>
              <w:textAlignment w:val="baseline"/>
              <w:rPr>
                <w:rFonts w:ascii="Arial" w:eastAsia="Times New Roman" w:hAnsi="Arial" w:cs="Arial"/>
                <w:sz w:val="16"/>
                <w:szCs w:val="16"/>
              </w:rPr>
            </w:pPr>
          </w:p>
        </w:tc>
      </w:tr>
      <w:tr w:rsidR="007B2475" w:rsidRPr="001A67C3" w14:paraId="75A7FDD0" w14:textId="77777777" w:rsidTr="00A72C21">
        <w:tc>
          <w:tcPr>
            <w:tcW w:w="1809" w:type="dxa"/>
            <w:shd w:val="clear" w:color="auto" w:fill="FFFFFF" w:themeFill="background1"/>
          </w:tcPr>
          <w:p w14:paraId="75A7FDBF"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sidRPr="002447F0">
              <w:rPr>
                <w:rFonts w:ascii="Arial" w:eastAsia="Times New Roman" w:hAnsi="Arial" w:cs="Arial"/>
                <w:b/>
                <w:sz w:val="16"/>
                <w:szCs w:val="16"/>
              </w:rPr>
              <w:t>Information périodique des investisseurs</w:t>
            </w:r>
          </w:p>
        </w:tc>
        <w:tc>
          <w:tcPr>
            <w:tcW w:w="1134" w:type="dxa"/>
            <w:shd w:val="clear" w:color="auto" w:fill="FFFFFF" w:themeFill="background1"/>
          </w:tcPr>
          <w:p w14:paraId="75A7FDC0"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eastAsia="Times New Roman" w:hAnsi="Arial" w:cs="Arial"/>
                <w:sz w:val="16"/>
                <w:szCs w:val="16"/>
              </w:rPr>
              <w:t>NON</w:t>
            </w:r>
          </w:p>
        </w:tc>
        <w:tc>
          <w:tcPr>
            <w:tcW w:w="1418" w:type="dxa"/>
            <w:shd w:val="clear" w:color="auto" w:fill="FFFFFF" w:themeFill="background1"/>
          </w:tcPr>
          <w:p w14:paraId="75A7FDC1"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eastAsia="Times New Roman" w:hAnsi="Arial" w:cs="Arial"/>
                <w:sz w:val="16"/>
                <w:szCs w:val="16"/>
              </w:rPr>
              <w:t>OUI</w:t>
            </w:r>
          </w:p>
        </w:tc>
        <w:tc>
          <w:tcPr>
            <w:tcW w:w="1276" w:type="dxa"/>
            <w:shd w:val="clear" w:color="auto" w:fill="FFFFFF" w:themeFill="background1"/>
          </w:tcPr>
          <w:p w14:paraId="75A7FDC2"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eastAsia="Times New Roman" w:hAnsi="Arial" w:cs="Arial"/>
                <w:sz w:val="16"/>
                <w:szCs w:val="16"/>
              </w:rPr>
              <w:t>OUI</w:t>
            </w:r>
          </w:p>
        </w:tc>
        <w:tc>
          <w:tcPr>
            <w:tcW w:w="1417" w:type="dxa"/>
            <w:shd w:val="clear" w:color="auto" w:fill="FFFFFF" w:themeFill="background1"/>
          </w:tcPr>
          <w:p w14:paraId="75A7FDC3"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eastAsia="Times New Roman" w:hAnsi="Arial" w:cs="Arial"/>
                <w:sz w:val="16"/>
                <w:szCs w:val="16"/>
              </w:rPr>
              <w:t>OUI</w:t>
            </w:r>
          </w:p>
        </w:tc>
        <w:tc>
          <w:tcPr>
            <w:tcW w:w="1843" w:type="dxa"/>
            <w:shd w:val="clear" w:color="auto" w:fill="FFFFFF" w:themeFill="background1"/>
          </w:tcPr>
          <w:p w14:paraId="75A7FDC4"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eastAsia="Times New Roman" w:hAnsi="Arial" w:cs="Arial"/>
                <w:sz w:val="16"/>
                <w:szCs w:val="16"/>
              </w:rPr>
              <w:t>NON</w:t>
            </w:r>
          </w:p>
        </w:tc>
        <w:tc>
          <w:tcPr>
            <w:tcW w:w="1559" w:type="dxa"/>
            <w:shd w:val="clear" w:color="auto" w:fill="FFFFFF" w:themeFill="background1"/>
          </w:tcPr>
          <w:p w14:paraId="75A7FDC5"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eastAsia="Times New Roman" w:hAnsi="Arial" w:cs="Arial"/>
                <w:sz w:val="16"/>
                <w:szCs w:val="16"/>
              </w:rPr>
              <w:t>NON</w:t>
            </w:r>
          </w:p>
        </w:tc>
        <w:tc>
          <w:tcPr>
            <w:tcW w:w="3111" w:type="dxa"/>
            <w:shd w:val="clear" w:color="auto" w:fill="FFFFFF" w:themeFill="background1"/>
          </w:tcPr>
          <w:p w14:paraId="75A7FDC6" w14:textId="3D0C9E31" w:rsidR="007B2475" w:rsidRPr="001A67C3" w:rsidRDefault="007B2475" w:rsidP="002C6E89">
            <w:pPr>
              <w:overflowPunct w:val="0"/>
              <w:autoSpaceDE w:val="0"/>
              <w:autoSpaceDN w:val="0"/>
              <w:adjustRightInd w:val="0"/>
              <w:textAlignment w:val="baseline"/>
              <w:rPr>
                <w:rFonts w:ascii="Arial" w:eastAsia="Times New Roman" w:hAnsi="Arial" w:cs="Arial"/>
                <w:sz w:val="16"/>
                <w:szCs w:val="16"/>
              </w:rPr>
            </w:pPr>
            <w:r>
              <w:rPr>
                <w:rFonts w:ascii="Arial" w:eastAsia="Times New Roman" w:hAnsi="Arial" w:cs="Arial"/>
                <w:sz w:val="16"/>
                <w:szCs w:val="16"/>
              </w:rPr>
              <w:t>L’intermédiaire visé au I 1° de l’article L. 550-1 du code monétaire et financier</w:t>
            </w:r>
            <w:r w:rsidDel="0025699B">
              <w:rPr>
                <w:rFonts w:ascii="Arial" w:eastAsia="Times New Roman" w:hAnsi="Arial" w:cs="Arial"/>
                <w:sz w:val="16"/>
                <w:szCs w:val="16"/>
              </w:rPr>
              <w:t xml:space="preserve"> </w:t>
            </w:r>
            <w:r>
              <w:rPr>
                <w:rFonts w:ascii="Arial" w:eastAsia="Times New Roman" w:hAnsi="Arial" w:cs="Arial"/>
                <w:sz w:val="16"/>
                <w:szCs w:val="16"/>
              </w:rPr>
              <w:t>qui prend l’initiative de l’opération</w:t>
            </w:r>
          </w:p>
        </w:tc>
      </w:tr>
      <w:tr w:rsidR="007B2475" w:rsidRPr="001A67C3" w14:paraId="75A7FDE1" w14:textId="77777777" w:rsidTr="00A72C21">
        <w:tc>
          <w:tcPr>
            <w:tcW w:w="1809" w:type="dxa"/>
            <w:shd w:val="clear" w:color="auto" w:fill="FFFFFF" w:themeFill="background1"/>
          </w:tcPr>
          <w:p w14:paraId="75A7FDD1"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sidRPr="002447F0">
              <w:rPr>
                <w:rFonts w:ascii="Arial" w:eastAsia="Times New Roman" w:hAnsi="Arial" w:cs="Arial"/>
                <w:b/>
                <w:sz w:val="16"/>
                <w:szCs w:val="16"/>
              </w:rPr>
              <w:t>Information semestrielle et annuelle de l’AMF</w:t>
            </w:r>
          </w:p>
        </w:tc>
        <w:tc>
          <w:tcPr>
            <w:tcW w:w="1134" w:type="dxa"/>
            <w:shd w:val="clear" w:color="auto" w:fill="FFFFFF" w:themeFill="background1"/>
          </w:tcPr>
          <w:p w14:paraId="75A7FDD2"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eastAsia="Times New Roman" w:hAnsi="Arial" w:cs="Arial"/>
                <w:sz w:val="16"/>
                <w:szCs w:val="16"/>
              </w:rPr>
              <w:t>NON</w:t>
            </w:r>
          </w:p>
        </w:tc>
        <w:tc>
          <w:tcPr>
            <w:tcW w:w="1418" w:type="dxa"/>
            <w:shd w:val="clear" w:color="auto" w:fill="FFFFFF" w:themeFill="background1"/>
          </w:tcPr>
          <w:p w14:paraId="75A7FDD3"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eastAsia="Times New Roman" w:hAnsi="Arial" w:cs="Arial"/>
                <w:sz w:val="16"/>
                <w:szCs w:val="16"/>
              </w:rPr>
              <w:t>OUI</w:t>
            </w:r>
          </w:p>
        </w:tc>
        <w:tc>
          <w:tcPr>
            <w:tcW w:w="1276" w:type="dxa"/>
            <w:shd w:val="clear" w:color="auto" w:fill="FFFFFF" w:themeFill="background1"/>
          </w:tcPr>
          <w:p w14:paraId="75A7FDD4"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eastAsia="Times New Roman" w:hAnsi="Arial" w:cs="Arial"/>
                <w:sz w:val="16"/>
                <w:szCs w:val="16"/>
              </w:rPr>
              <w:t>OUI</w:t>
            </w:r>
          </w:p>
        </w:tc>
        <w:tc>
          <w:tcPr>
            <w:tcW w:w="1417" w:type="dxa"/>
            <w:shd w:val="clear" w:color="auto" w:fill="FFFFFF" w:themeFill="background1"/>
          </w:tcPr>
          <w:p w14:paraId="75A7FDD5"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eastAsia="Times New Roman" w:hAnsi="Arial" w:cs="Arial"/>
                <w:sz w:val="16"/>
                <w:szCs w:val="16"/>
              </w:rPr>
              <w:t>OUI</w:t>
            </w:r>
          </w:p>
        </w:tc>
        <w:tc>
          <w:tcPr>
            <w:tcW w:w="1843" w:type="dxa"/>
            <w:shd w:val="clear" w:color="auto" w:fill="FFFFFF" w:themeFill="background1"/>
          </w:tcPr>
          <w:p w14:paraId="75A7FDD6"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eastAsia="Times New Roman" w:hAnsi="Arial" w:cs="Arial"/>
                <w:sz w:val="16"/>
                <w:szCs w:val="16"/>
              </w:rPr>
              <w:t>OUI</w:t>
            </w:r>
          </w:p>
        </w:tc>
        <w:tc>
          <w:tcPr>
            <w:tcW w:w="1559" w:type="dxa"/>
            <w:shd w:val="clear" w:color="auto" w:fill="FFFFFF" w:themeFill="background1"/>
          </w:tcPr>
          <w:p w14:paraId="75A7FDD7"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eastAsia="Times New Roman" w:hAnsi="Arial" w:cs="Arial"/>
                <w:sz w:val="16"/>
                <w:szCs w:val="16"/>
              </w:rPr>
              <w:t>NON</w:t>
            </w:r>
          </w:p>
        </w:tc>
        <w:tc>
          <w:tcPr>
            <w:tcW w:w="3111" w:type="dxa"/>
            <w:shd w:val="clear" w:color="auto" w:fill="FFFFFF" w:themeFill="background1"/>
          </w:tcPr>
          <w:p w14:paraId="75A7FDD8" w14:textId="281D88F5" w:rsidR="007B2475" w:rsidRPr="001A67C3" w:rsidRDefault="007B2475" w:rsidP="00641693">
            <w:pPr>
              <w:overflowPunct w:val="0"/>
              <w:autoSpaceDE w:val="0"/>
              <w:autoSpaceDN w:val="0"/>
              <w:adjustRightInd w:val="0"/>
              <w:textAlignment w:val="baseline"/>
              <w:rPr>
                <w:rFonts w:ascii="Arial" w:eastAsia="Times New Roman" w:hAnsi="Arial" w:cs="Arial"/>
                <w:sz w:val="16"/>
                <w:szCs w:val="16"/>
              </w:rPr>
            </w:pPr>
            <w:r>
              <w:rPr>
                <w:rFonts w:ascii="Arial" w:eastAsia="Times New Roman" w:hAnsi="Arial" w:cs="Arial"/>
                <w:sz w:val="16"/>
                <w:szCs w:val="16"/>
              </w:rPr>
              <w:t>L’intermédiaire visé au I 1° et au II de l’article L. 550-1 du code monétaire et financier</w:t>
            </w:r>
            <w:r w:rsidDel="0025699B">
              <w:rPr>
                <w:rFonts w:ascii="Arial" w:eastAsia="Times New Roman" w:hAnsi="Arial" w:cs="Arial"/>
                <w:sz w:val="16"/>
                <w:szCs w:val="16"/>
              </w:rPr>
              <w:t xml:space="preserve"> </w:t>
            </w:r>
            <w:r>
              <w:rPr>
                <w:rFonts w:ascii="Arial" w:eastAsia="Times New Roman" w:hAnsi="Arial" w:cs="Arial"/>
                <w:sz w:val="16"/>
                <w:szCs w:val="16"/>
              </w:rPr>
              <w:t>qui prend l’initiative de l’opération</w:t>
            </w:r>
          </w:p>
        </w:tc>
      </w:tr>
    </w:tbl>
    <w:p w14:paraId="75A7FDE3" w14:textId="77777777" w:rsidR="00652BFD" w:rsidRPr="001A67C3" w:rsidRDefault="00652BFD" w:rsidP="007A2DB1">
      <w:pPr>
        <w:overflowPunct w:val="0"/>
        <w:autoSpaceDE w:val="0"/>
        <w:autoSpaceDN w:val="0"/>
        <w:adjustRightInd w:val="0"/>
        <w:spacing w:after="0" w:line="240" w:lineRule="auto"/>
        <w:textAlignment w:val="baseline"/>
        <w:rPr>
          <w:rFonts w:ascii="Arial" w:hAnsi="Arial" w:cs="Arial"/>
          <w:sz w:val="16"/>
          <w:szCs w:val="16"/>
        </w:rPr>
      </w:pPr>
    </w:p>
    <w:sectPr w:rsidR="00652BFD" w:rsidRPr="001A67C3" w:rsidSect="00641A36">
      <w:headerReference w:type="default" r:id="rId12"/>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7FDE6" w14:textId="77777777" w:rsidR="002D4791" w:rsidRDefault="002D4791" w:rsidP="00BE54C9">
      <w:pPr>
        <w:spacing w:after="0" w:line="240" w:lineRule="auto"/>
      </w:pPr>
      <w:r>
        <w:separator/>
      </w:r>
    </w:p>
  </w:endnote>
  <w:endnote w:type="continuationSeparator" w:id="0">
    <w:p w14:paraId="75A7FDE7" w14:textId="77777777" w:rsidR="002D4791" w:rsidRDefault="002D4791" w:rsidP="00BE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121059"/>
      <w:docPartObj>
        <w:docPartGallery w:val="Page Numbers (Bottom of Page)"/>
        <w:docPartUnique/>
      </w:docPartObj>
    </w:sdtPr>
    <w:sdtEndPr/>
    <w:sdtContent>
      <w:p w14:paraId="2CD0765A" w14:textId="7B4FF3D0" w:rsidR="002D4791" w:rsidRDefault="002D4791">
        <w:pPr>
          <w:pStyle w:val="Pieddepage"/>
          <w:jc w:val="center"/>
        </w:pPr>
        <w:r>
          <w:fldChar w:fldCharType="begin"/>
        </w:r>
        <w:r>
          <w:instrText>PAGE   \* MERGEFORMAT</w:instrText>
        </w:r>
        <w:r>
          <w:fldChar w:fldCharType="separate"/>
        </w:r>
        <w:r w:rsidR="00193D54">
          <w:rPr>
            <w:noProof/>
          </w:rPr>
          <w:t>5</w:t>
        </w:r>
        <w:r>
          <w:fldChar w:fldCharType="end"/>
        </w:r>
      </w:p>
    </w:sdtContent>
  </w:sdt>
  <w:p w14:paraId="690C0027" w14:textId="77777777" w:rsidR="002D4791" w:rsidRDefault="002D47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7FDE4" w14:textId="77777777" w:rsidR="002D4791" w:rsidRDefault="002D4791" w:rsidP="00BE54C9">
      <w:pPr>
        <w:spacing w:after="0" w:line="240" w:lineRule="auto"/>
      </w:pPr>
      <w:r>
        <w:separator/>
      </w:r>
    </w:p>
  </w:footnote>
  <w:footnote w:type="continuationSeparator" w:id="0">
    <w:p w14:paraId="75A7FDE5" w14:textId="77777777" w:rsidR="002D4791" w:rsidRDefault="002D4791" w:rsidP="00BE54C9">
      <w:pPr>
        <w:spacing w:after="0" w:line="240" w:lineRule="auto"/>
      </w:pPr>
      <w:r>
        <w:continuationSeparator/>
      </w:r>
    </w:p>
  </w:footnote>
  <w:footnote w:id="1">
    <w:p w14:paraId="75A7FDF1" w14:textId="77777777" w:rsidR="002D4791" w:rsidRPr="00652BFD" w:rsidRDefault="002D4791" w:rsidP="00BE54C9">
      <w:pPr>
        <w:pStyle w:val="Notedebasdepage"/>
        <w:rPr>
          <w:sz w:val="16"/>
          <w:szCs w:val="16"/>
        </w:rPr>
      </w:pPr>
      <w:r w:rsidRPr="00652BFD">
        <w:rPr>
          <w:rStyle w:val="Appelnotedebasdep"/>
          <w:sz w:val="16"/>
          <w:szCs w:val="16"/>
        </w:rPr>
        <w:footnoteRef/>
      </w:r>
      <w:r w:rsidRPr="00652BFD">
        <w:rPr>
          <w:sz w:val="16"/>
          <w:szCs w:val="16"/>
        </w:rPr>
        <w:t xml:space="preserve"> En tant que débiteur de l’obligation de transmission à l’AMF, l’intermédiaire débiteur de l’obligation de dépôt auprès de l’AMF fournit l’intégralité des informations le concernant, mais également, le cas échéant, lorsque d’autres intermédiaires interviennent dans l’opération et sont également tenus d’une des obligations mentionnée, les informations relatives à ces intermédiaires.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7FDE9" w14:textId="7021C890" w:rsidR="002D4791" w:rsidRPr="00A60B45" w:rsidRDefault="00DD57FA">
    <w:pPr>
      <w:pStyle w:val="En-tte"/>
      <w:rPr>
        <w:rFonts w:ascii="Arial" w:hAnsi="Arial" w:cs="Arial"/>
        <w:sz w:val="16"/>
        <w:szCs w:val="16"/>
      </w:rPr>
    </w:pPr>
    <w:r>
      <w:rPr>
        <w:rFonts w:ascii="Arial" w:hAnsi="Arial" w:cs="Arial"/>
        <w:sz w:val="16"/>
        <w:szCs w:val="16"/>
      </w:rPr>
      <w:t>Ce document constitue l’a</w:t>
    </w:r>
    <w:r w:rsidR="002D4791" w:rsidRPr="00A60B45">
      <w:rPr>
        <w:rFonts w:ascii="Arial" w:hAnsi="Arial" w:cs="Arial"/>
        <w:sz w:val="16"/>
        <w:szCs w:val="16"/>
      </w:rPr>
      <w:t>nnexe 3</w:t>
    </w:r>
    <w:r w:rsidRPr="00DD57FA">
      <w:t xml:space="preserve"> </w:t>
    </w:r>
    <w:r w:rsidRPr="00DD57FA">
      <w:rPr>
        <w:rFonts w:ascii="Arial" w:hAnsi="Arial" w:cs="Arial"/>
        <w:sz w:val="16"/>
        <w:szCs w:val="16"/>
      </w:rPr>
      <w:t xml:space="preserve">de l’instruction AMF </w:t>
    </w:r>
    <w:r w:rsidR="00193D54">
      <w:rPr>
        <w:rFonts w:ascii="Arial" w:hAnsi="Arial" w:cs="Arial"/>
        <w:sz w:val="16"/>
        <w:szCs w:val="16"/>
      </w:rPr>
      <w:t>DOC-</w:t>
    </w:r>
    <w:r w:rsidRPr="00DD57FA">
      <w:rPr>
        <w:rFonts w:ascii="Arial" w:hAnsi="Arial" w:cs="Arial"/>
        <w:sz w:val="16"/>
        <w:szCs w:val="16"/>
      </w:rPr>
      <w:t xml:space="preserve"> 2017-06 - Procédures d’enregistrement et établissement d’un document d’information devant être déposé auprès de l’AMF par les intermédiaires en biens divers.</w:t>
    </w:r>
    <w:r w:rsidR="002D4791" w:rsidRPr="00A60B45">
      <w:rPr>
        <w:rFonts w:ascii="Arial" w:hAnsi="Arial" w:cs="Arial"/>
        <w:sz w:val="16"/>
        <w:szCs w:val="16"/>
      </w:rPr>
      <w:t xml:space="preserve"> – Synthèse des obligations de chacun des intermédiaires en biens divers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0ED9"/>
    <w:multiLevelType w:val="hybridMultilevel"/>
    <w:tmpl w:val="CBE49074"/>
    <w:lvl w:ilvl="0" w:tplc="17E04D16">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711A15"/>
    <w:multiLevelType w:val="hybridMultilevel"/>
    <w:tmpl w:val="82B60F42"/>
    <w:lvl w:ilvl="0" w:tplc="626E9846">
      <w:start w:val="20"/>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FB7EEC"/>
    <w:multiLevelType w:val="hybridMultilevel"/>
    <w:tmpl w:val="F19225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16C371A"/>
    <w:multiLevelType w:val="hybridMultilevel"/>
    <w:tmpl w:val="66ECE680"/>
    <w:lvl w:ilvl="0" w:tplc="CF7449C4">
      <w:start w:val="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7577FC"/>
    <w:multiLevelType w:val="hybridMultilevel"/>
    <w:tmpl w:val="B3E278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7D"/>
    <w:rsid w:val="0013707D"/>
    <w:rsid w:val="00177ABE"/>
    <w:rsid w:val="00193D54"/>
    <w:rsid w:val="001A67C3"/>
    <w:rsid w:val="001E3564"/>
    <w:rsid w:val="001E4767"/>
    <w:rsid w:val="001E6DCB"/>
    <w:rsid w:val="002447F0"/>
    <w:rsid w:val="0025699B"/>
    <w:rsid w:val="002C6E89"/>
    <w:rsid w:val="002D4791"/>
    <w:rsid w:val="0030374E"/>
    <w:rsid w:val="003131BA"/>
    <w:rsid w:val="003800ED"/>
    <w:rsid w:val="00396DBF"/>
    <w:rsid w:val="003B4624"/>
    <w:rsid w:val="00432C63"/>
    <w:rsid w:val="004756FC"/>
    <w:rsid w:val="0049110D"/>
    <w:rsid w:val="005142F7"/>
    <w:rsid w:val="005755A1"/>
    <w:rsid w:val="005D2E4E"/>
    <w:rsid w:val="005E7291"/>
    <w:rsid w:val="00641693"/>
    <w:rsid w:val="00641A36"/>
    <w:rsid w:val="0065232C"/>
    <w:rsid w:val="00652BFD"/>
    <w:rsid w:val="00654E0E"/>
    <w:rsid w:val="00793F95"/>
    <w:rsid w:val="007A2DB1"/>
    <w:rsid w:val="007B2475"/>
    <w:rsid w:val="007B7F28"/>
    <w:rsid w:val="008E78C8"/>
    <w:rsid w:val="00A60B45"/>
    <w:rsid w:val="00A72C21"/>
    <w:rsid w:val="00BE54C9"/>
    <w:rsid w:val="00C0729E"/>
    <w:rsid w:val="00C07FAA"/>
    <w:rsid w:val="00C10170"/>
    <w:rsid w:val="00C91DDE"/>
    <w:rsid w:val="00C93A7E"/>
    <w:rsid w:val="00C960EC"/>
    <w:rsid w:val="00D713A5"/>
    <w:rsid w:val="00DA78E9"/>
    <w:rsid w:val="00DC7922"/>
    <w:rsid w:val="00DD4A2F"/>
    <w:rsid w:val="00DD57FA"/>
    <w:rsid w:val="00E94B03"/>
    <w:rsid w:val="00EA7E13"/>
    <w:rsid w:val="00F00D5A"/>
    <w:rsid w:val="00F66F42"/>
    <w:rsid w:val="00FE76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A7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E54C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E54C9"/>
    <w:pPr>
      <w:spacing w:after="0" w:line="240" w:lineRule="auto"/>
      <w:jc w:val="both"/>
    </w:pPr>
    <w:rPr>
      <w:rFonts w:ascii="Arial" w:eastAsia="Times" w:hAnsi="Arial" w:cs="Times New Roman"/>
      <w:sz w:val="20"/>
      <w:szCs w:val="20"/>
      <w:lang w:eastAsia="fr-FR"/>
    </w:rPr>
  </w:style>
  <w:style w:type="character" w:customStyle="1" w:styleId="NotedebasdepageCar">
    <w:name w:val="Note de bas de page Car"/>
    <w:basedOn w:val="Policepardfaut"/>
    <w:link w:val="Notedebasdepage"/>
    <w:uiPriority w:val="99"/>
    <w:semiHidden/>
    <w:rsid w:val="00BE54C9"/>
    <w:rPr>
      <w:rFonts w:ascii="Arial" w:eastAsia="Times" w:hAnsi="Arial" w:cs="Times New Roman"/>
      <w:sz w:val="20"/>
      <w:szCs w:val="20"/>
      <w:lang w:eastAsia="fr-FR"/>
    </w:rPr>
  </w:style>
  <w:style w:type="character" w:styleId="Appelnotedebasdep">
    <w:name w:val="footnote reference"/>
    <w:basedOn w:val="Policepardfaut"/>
    <w:uiPriority w:val="99"/>
    <w:semiHidden/>
    <w:unhideWhenUsed/>
    <w:rsid w:val="00BE54C9"/>
    <w:rPr>
      <w:vertAlign w:val="superscript"/>
    </w:rPr>
  </w:style>
  <w:style w:type="paragraph" w:styleId="En-tte">
    <w:name w:val="header"/>
    <w:basedOn w:val="Normal"/>
    <w:link w:val="En-tteCar"/>
    <w:uiPriority w:val="99"/>
    <w:unhideWhenUsed/>
    <w:rsid w:val="00652BFD"/>
    <w:pPr>
      <w:tabs>
        <w:tab w:val="center" w:pos="4536"/>
        <w:tab w:val="right" w:pos="9072"/>
      </w:tabs>
      <w:spacing w:after="0" w:line="240" w:lineRule="auto"/>
    </w:pPr>
  </w:style>
  <w:style w:type="character" w:customStyle="1" w:styleId="En-tteCar">
    <w:name w:val="En-tête Car"/>
    <w:basedOn w:val="Policepardfaut"/>
    <w:link w:val="En-tte"/>
    <w:uiPriority w:val="99"/>
    <w:rsid w:val="00652BFD"/>
  </w:style>
  <w:style w:type="paragraph" w:styleId="Pieddepage">
    <w:name w:val="footer"/>
    <w:basedOn w:val="Normal"/>
    <w:link w:val="PieddepageCar"/>
    <w:uiPriority w:val="99"/>
    <w:unhideWhenUsed/>
    <w:rsid w:val="00652B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2BFD"/>
  </w:style>
  <w:style w:type="paragraph" w:styleId="Paragraphedeliste">
    <w:name w:val="List Paragraph"/>
    <w:basedOn w:val="Normal"/>
    <w:uiPriority w:val="34"/>
    <w:qFormat/>
    <w:rsid w:val="00652BFD"/>
    <w:pPr>
      <w:ind w:left="720"/>
      <w:contextualSpacing/>
    </w:pPr>
  </w:style>
  <w:style w:type="paragraph" w:styleId="Textedebulles">
    <w:name w:val="Balloon Text"/>
    <w:basedOn w:val="Normal"/>
    <w:link w:val="TextedebullesCar"/>
    <w:uiPriority w:val="99"/>
    <w:semiHidden/>
    <w:unhideWhenUsed/>
    <w:rsid w:val="006523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2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E54C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E54C9"/>
    <w:pPr>
      <w:spacing w:after="0" w:line="240" w:lineRule="auto"/>
      <w:jc w:val="both"/>
    </w:pPr>
    <w:rPr>
      <w:rFonts w:ascii="Arial" w:eastAsia="Times" w:hAnsi="Arial" w:cs="Times New Roman"/>
      <w:sz w:val="20"/>
      <w:szCs w:val="20"/>
      <w:lang w:eastAsia="fr-FR"/>
    </w:rPr>
  </w:style>
  <w:style w:type="character" w:customStyle="1" w:styleId="NotedebasdepageCar">
    <w:name w:val="Note de bas de page Car"/>
    <w:basedOn w:val="Policepardfaut"/>
    <w:link w:val="Notedebasdepage"/>
    <w:uiPriority w:val="99"/>
    <w:semiHidden/>
    <w:rsid w:val="00BE54C9"/>
    <w:rPr>
      <w:rFonts w:ascii="Arial" w:eastAsia="Times" w:hAnsi="Arial" w:cs="Times New Roman"/>
      <w:sz w:val="20"/>
      <w:szCs w:val="20"/>
      <w:lang w:eastAsia="fr-FR"/>
    </w:rPr>
  </w:style>
  <w:style w:type="character" w:styleId="Appelnotedebasdep">
    <w:name w:val="footnote reference"/>
    <w:basedOn w:val="Policepardfaut"/>
    <w:uiPriority w:val="99"/>
    <w:semiHidden/>
    <w:unhideWhenUsed/>
    <w:rsid w:val="00BE54C9"/>
    <w:rPr>
      <w:vertAlign w:val="superscript"/>
    </w:rPr>
  </w:style>
  <w:style w:type="paragraph" w:styleId="En-tte">
    <w:name w:val="header"/>
    <w:basedOn w:val="Normal"/>
    <w:link w:val="En-tteCar"/>
    <w:uiPriority w:val="99"/>
    <w:unhideWhenUsed/>
    <w:rsid w:val="00652BFD"/>
    <w:pPr>
      <w:tabs>
        <w:tab w:val="center" w:pos="4536"/>
        <w:tab w:val="right" w:pos="9072"/>
      </w:tabs>
      <w:spacing w:after="0" w:line="240" w:lineRule="auto"/>
    </w:pPr>
  </w:style>
  <w:style w:type="character" w:customStyle="1" w:styleId="En-tteCar">
    <w:name w:val="En-tête Car"/>
    <w:basedOn w:val="Policepardfaut"/>
    <w:link w:val="En-tte"/>
    <w:uiPriority w:val="99"/>
    <w:rsid w:val="00652BFD"/>
  </w:style>
  <w:style w:type="paragraph" w:styleId="Pieddepage">
    <w:name w:val="footer"/>
    <w:basedOn w:val="Normal"/>
    <w:link w:val="PieddepageCar"/>
    <w:uiPriority w:val="99"/>
    <w:unhideWhenUsed/>
    <w:rsid w:val="00652B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2BFD"/>
  </w:style>
  <w:style w:type="paragraph" w:styleId="Paragraphedeliste">
    <w:name w:val="List Paragraph"/>
    <w:basedOn w:val="Normal"/>
    <w:uiPriority w:val="34"/>
    <w:qFormat/>
    <w:rsid w:val="00652BFD"/>
    <w:pPr>
      <w:ind w:left="720"/>
      <w:contextualSpacing/>
    </w:pPr>
  </w:style>
  <w:style w:type="paragraph" w:styleId="Textedebulles">
    <w:name w:val="Balloon Text"/>
    <w:basedOn w:val="Normal"/>
    <w:link w:val="TextedebullesCar"/>
    <w:uiPriority w:val="99"/>
    <w:semiHidden/>
    <w:unhideWhenUsed/>
    <w:rsid w:val="006523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2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dele DAJ" ma:contentTypeID="0x01010046D2C1E2F3584063AA82C7EBA14DB512009F5EA2C4168BFF4C800F7325DFF7DFB8" ma:contentTypeVersion="17" ma:contentTypeDescription="Modèle de documents DAJ" ma:contentTypeScope="" ma:versionID="a5f6e05d8543ae6494c1b2ea10269dc5">
  <xsd:schema xmlns:xsd="http://www.w3.org/2001/XMLSchema" xmlns:xs="http://www.w3.org/2001/XMLSchema" xmlns:p="http://schemas.microsoft.com/office/2006/metadata/properties" xmlns:ns2="http://schemas.amf.org/daj" xmlns:ns3="108651a7-7c1e-44e5-8637-7e25352c12ae" targetNamespace="http://schemas.microsoft.com/office/2006/metadata/properties" ma:root="true" ma:fieldsID="155fbf86f112e0810aca0ace6237ff9c" ns2:_="" ns3:_="">
    <xsd:import namespace="http://schemas.amf.org/daj"/>
    <xsd:import namespace="108651a7-7c1e-44e5-8637-7e25352c12ae"/>
    <xsd:element name="properties">
      <xsd:complexType>
        <xsd:sequence>
          <xsd:element name="documentManagement">
            <xsd:complexType>
              <xsd:all>
                <xsd:element ref="ns2:DAJDocDate"/>
                <xsd:element ref="ns2:DAJDocType"/>
                <xsd:element ref="ns2:DAJDocAuteur"/>
                <xsd:element ref="ns2:DAJDocNumero" minOccurs="0"/>
                <xsd:element ref="ns2:DAJDocNumDossier" minOccurs="0"/>
                <xsd:element ref="ns2:DAJDocConfidentialite" minOccurs="0"/>
                <xsd:element ref="ns2:DAJDocDirection" minOccurs="0"/>
                <xsd:element ref="ns2:DAJDocPositionPrincipe"/>
                <xsd:element ref="ns2:DAJDocTheme" minOccurs="0"/>
                <xsd:element ref="ns2:DAJDocStatut" minOccurs="0"/>
                <xsd:element ref="ns2:DAJDocLangue" minOccurs="0"/>
                <xsd:element ref="ns2:DAJDenomination" minOccurs="0"/>
                <xsd:element ref="ns3:DAJCivilite" minOccurs="0"/>
                <xsd:element ref="ns2:DAJNom" minOccurs="0"/>
                <xsd:element ref="ns2:DAJPrenom" minOccurs="0"/>
                <xsd:element ref="ns2:DAJAdresse" minOccurs="0"/>
                <xsd:element ref="ns2:DAJCP" minOccurs="0"/>
                <xsd:element ref="ns2:DAJVille" minOccurs="0"/>
                <xsd:element ref="ns2:DAJPays" minOccurs="0"/>
                <xsd:element ref="ns2:DAJEstModele" minOccurs="0"/>
                <xsd:element ref="ns3:DAJDocCommentaires" minOccurs="0"/>
                <xsd:element ref="ns2:DAJNomCompletIntervenant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amf.org/daj" elementFormDefault="qualified">
    <xsd:import namespace="http://schemas.microsoft.com/office/2006/documentManagement/types"/>
    <xsd:import namespace="http://schemas.microsoft.com/office/infopath/2007/PartnerControls"/>
    <xsd:element name="DAJDocDate" ma:index="1" ma:displayName="Date du document" ma:description="" ma:format="DateOnly" ma:internalName="DAJDocDate" ma:readOnly="false">
      <xsd:simpleType>
        <xsd:restriction base="dms:DateTime"/>
      </xsd:simpleType>
    </xsd:element>
    <xsd:element name="DAJDocType" ma:index="2" ma:displayName="Type du document" ma:list="{280ddfce-a263-45c7-83b0-d30397e5d1b2}" ma:internalName="DAJDocType" ma:readOnly="false" ma:showField="Title" ma:web="{108651a7-7c1e-44e5-8637-7e25352c12ae}">
      <xsd:simpleType>
        <xsd:restriction base="dms:Lookup"/>
      </xsd:simpleType>
    </xsd:element>
    <xsd:element name="DAJDocAuteur" ma:index="3" ma:displayName="Auteur(s)" ma:description="" ma:internalName="DAJDocAuteur" ma:readOnly="false" ma:showField="Title">
      <xsd:simpleType>
        <xsd:restriction base="dms:Text"/>
      </xsd:simpleType>
    </xsd:element>
    <xsd:element name="DAJDocNumero" ma:index="5" nillable="true" ma:displayName="Numéro document" ma:internalName="DAJDocNumero">
      <xsd:simpleType>
        <xsd:restriction base="dms:Text"/>
      </xsd:simpleType>
    </xsd:element>
    <xsd:element name="DAJDocNumDossier" ma:index="6" nillable="true" ma:displayName="Numéro de dossier" ma:internalName="DAJDocNumDossier" ma:showField="TRUE">
      <xsd:simpleType>
        <xsd:restriction base="dms:Text"/>
      </xsd:simpleType>
    </xsd:element>
    <xsd:element name="DAJDocConfidentialite" ma:index="7" nillable="true" ma:displayName="Confidentialité" ma:list="{f5ee6fda-8148-4899-b75b-dde4f4afc6d3}" ma:internalName="DAJDocConfidentialite" ma:showField="Title" ma:web="{108651a7-7c1e-44e5-8637-7e25352c12ae}">
      <xsd:simpleType>
        <xsd:restriction base="dms:Lookup"/>
      </xsd:simpleType>
    </xsd:element>
    <xsd:element name="DAJDocDirection" ma:index="8" nillable="true" ma:displayName="Direction(s) des auteurs" ma:description="" ma:internalName="DAJDocDirection">
      <xsd:simpleType>
        <xsd:restriction base="dms:Text"/>
      </xsd:simpleType>
    </xsd:element>
    <xsd:element name="DAJDocPositionPrincipe" ma:index="9" ma:displayName="Position de principe" ma:default="Non définie" ma:format="Dropdown" ma:internalName="DAJDocPositionPrincipe" ma:readOnly="false">
      <xsd:simpleType>
        <xsd:restriction base="dms:Choice">
          <xsd:enumeration value="Non définie"/>
          <xsd:enumeration value="Position"/>
          <xsd:enumeration value="Position validée"/>
        </xsd:restriction>
      </xsd:simpleType>
    </xsd:element>
    <xsd:element name="DAJDocTheme" ma:index="10" nillable="true" ma:displayName="Thème du document" ma:hidden="true" ma:internalName="DAJDocTheme" ma:readOnly="false">
      <xsd:simpleType>
        <xsd:restriction base="dms:Text"/>
      </xsd:simpleType>
    </xsd:element>
    <xsd:element name="DAJDocStatut" ma:index="11" nillable="true" ma:displayName="Statut" ma:list="{70fe24b3-703c-451a-82aa-6f172c97ed8a}" ma:internalName="DAJDocStatut" ma:showField="Title" ma:web="{108651a7-7c1e-44e5-8637-7e25352c12ae}">
      <xsd:simpleType>
        <xsd:restriction base="dms:Lookup"/>
      </xsd:simpleType>
    </xsd:element>
    <xsd:element name="DAJDocLangue" ma:index="12" nillable="true" ma:displayName="Langue" ma:default="FR" ma:internalName="DAJDocLangue">
      <xsd:simpleType>
        <xsd:restriction base="dms:Choice">
          <xsd:enumeration value="FR"/>
          <xsd:enumeration value="EN"/>
        </xsd:restriction>
      </xsd:simpleType>
    </xsd:element>
    <xsd:element name="DAJDenomination" ma:index="13" nillable="true" ma:displayName="Dénomination" ma:description="" ma:internalName="DAJDenomination">
      <xsd:simpleType>
        <xsd:restriction base="dms:Text"/>
      </xsd:simpleType>
    </xsd:element>
    <xsd:element name="DAJNom" ma:index="15" nillable="true" ma:displayName="Nom" ma:description="" ma:internalName="DAJNom">
      <xsd:simpleType>
        <xsd:restriction base="dms:Text"/>
      </xsd:simpleType>
    </xsd:element>
    <xsd:element name="DAJPrenom" ma:index="16" nillable="true" ma:displayName="Prénom" ma:description="" ma:internalName="DAJPrenom">
      <xsd:simpleType>
        <xsd:restriction base="dms:Text"/>
      </xsd:simpleType>
    </xsd:element>
    <xsd:element name="DAJAdresse" ma:index="17" nillable="true" ma:displayName="Adresse" ma:description="" ma:internalName="DAJAdresse">
      <xsd:simpleType>
        <xsd:restriction base="dms:Note">
          <xsd:maxLength value="255"/>
        </xsd:restriction>
      </xsd:simpleType>
    </xsd:element>
    <xsd:element name="DAJCP" ma:index="18" nillable="true" ma:displayName="CP" ma:description="" ma:internalName="DAJCP">
      <xsd:simpleType>
        <xsd:restriction base="dms:Text"/>
      </xsd:simpleType>
    </xsd:element>
    <xsd:element name="DAJVille" ma:index="19" nillable="true" ma:displayName="Ville" ma:description="" ma:internalName="DAJVille">
      <xsd:simpleType>
        <xsd:restriction base="dms:Text"/>
      </xsd:simpleType>
    </xsd:element>
    <xsd:element name="DAJPays" ma:index="20" nillable="true" ma:displayName="Pays" ma:description="" ma:internalName="DAJPays">
      <xsd:simpleType>
        <xsd:restriction base="dms:Text"/>
      </xsd:simpleType>
    </xsd:element>
    <xsd:element name="DAJEstModele" ma:index="21" nillable="true" ma:displayName="Modèle" ma:default="0" ma:description="" ma:hidden="true" ma:internalName="DAJEstModele">
      <xsd:simpleType>
        <xsd:restriction base="dms:Boolean"/>
      </xsd:simpleType>
    </xsd:element>
    <xsd:element name="DAJNomCompletIntervenantLookup" ma:index="29" nillable="true" ma:displayName="Correspondant externe document" ma:list="{638A971D-4B04-4A20-B75E-FB4FC932038A}" ma:internalName="DAJNomCompletIntervenantLookup" ma:showField="Nom_x0020_Comple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08651a7-7c1e-44e5-8637-7e25352c12ae" elementFormDefault="qualified">
    <xsd:import namespace="http://schemas.microsoft.com/office/2006/documentManagement/types"/>
    <xsd:import namespace="http://schemas.microsoft.com/office/infopath/2007/PartnerControls"/>
    <xsd:element name="DAJCivilite" ma:index="14" nillable="true" ma:displayName="Civilité" ma:format="Dropdown" ma:internalName="DAJCivilite">
      <xsd:simpleType>
        <xsd:restriction base="dms:Choice">
          <xsd:enumeration value="Maître"/>
          <xsd:enumeration value="Madame"/>
          <xsd:enumeration value="Monsieur"/>
        </xsd:restriction>
      </xsd:simpleType>
    </xsd:element>
    <xsd:element name="DAJDocCommentaires" ma:index="28" nillable="true" ma:displayName="Commentaire" ma:description="" ma:internalName="DAJDocCommentair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e de contenu"/>
        <xsd:element ref="dc:title" minOccurs="0" maxOccurs="1" ma:index="4" ma:displayName="Titre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JPrenom xmlns="http://schemas.amf.org/daj" xsi:nil="true"/>
    <DAJDocDirection xmlns="http://schemas.amf.org/daj" xsi:nil="true"/>
    <DAJDenomination xmlns="http://schemas.amf.org/daj" xsi:nil="true"/>
    <DAJDocLangue xmlns="http://schemas.amf.org/daj">FR</DAJDocLangue>
    <DAJCP xmlns="http://schemas.amf.org/daj" xsi:nil="true"/>
    <DAJNom xmlns="http://schemas.amf.org/daj" xsi:nil="true"/>
    <DAJDocNumDossier xmlns="http://schemas.amf.org/daj">R160007</DAJDocNumDossier>
    <DAJVille xmlns="http://schemas.amf.org/daj" xsi:nil="true"/>
    <DAJDocAuteur xmlns="http://schemas.amf.org/daj">DGA</DAJDocAuteur>
    <DAJDocConfidentialite xmlns="http://schemas.amf.org/daj" xsi:nil="true"/>
    <DAJDocDate xmlns="http://schemas.amf.org/daj">2017-03-16T23:00:00+00:00</DAJDocDate>
    <DAJAdresse xmlns="http://schemas.amf.org/daj" xsi:nil="true"/>
    <DAJPays xmlns="http://schemas.amf.org/daj" xsi:nil="true"/>
    <DAJDocCommentaires xmlns="108651a7-7c1e-44e5-8637-7e25352c12ae" xsi:nil="true"/>
    <DAJDocPositionPrincipe xmlns="http://schemas.amf.org/daj">Non définie</DAJDocPositionPrincipe>
    <DAJDocStatut xmlns="http://schemas.amf.org/daj" xsi:nil="true"/>
    <DAJDocType xmlns="http://schemas.amf.org/daj">6</DAJDocType>
    <DAJDocTheme xmlns="http://schemas.amf.org/daj" xsi:nil="true"/>
    <DAJDocNumero xmlns="http://schemas.amf.org/daj">00009092</DAJDocNumero>
    <DAJCivilite xmlns="108651a7-7c1e-44e5-8637-7e25352c12ae" xsi:nil="true"/>
    <DAJEstModele xmlns="http://schemas.amf.org/daj">false</DAJEstModele>
    <DAJNomCompletIntervenantLookup xmlns="http://schemas.amf.org/daj"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85AA0-28F8-4181-8FB5-2554C1FEF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amf.org/daj"/>
    <ds:schemaRef ds:uri="108651a7-7c1e-44e5-8637-7e25352c1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0FD1F-9A4C-4C8E-8186-9727D61FDC24}">
  <ds:schemaRefs>
    <ds:schemaRef ds:uri="http://schemas.microsoft.com/sharepoint/v3/contenttype/forms"/>
  </ds:schemaRefs>
</ds:datastoreItem>
</file>

<file path=customXml/itemProps3.xml><?xml version="1.0" encoding="utf-8"?>
<ds:datastoreItem xmlns:ds="http://schemas.openxmlformats.org/officeDocument/2006/customXml" ds:itemID="{36A67EAB-CEA6-446A-BD9F-7CA6B7159E93}">
  <ds:schemaRefs>
    <ds:schemaRef ds:uri="http://purl.org/dc/dcmitype/"/>
    <ds:schemaRef ds:uri="http://schemas.microsoft.com/office/2006/documentManagement/types"/>
    <ds:schemaRef ds:uri="http://schemas.microsoft.com/office/infopath/2007/PartnerControls"/>
    <ds:schemaRef ds:uri="http://purl.org/dc/terms/"/>
    <ds:schemaRef ds:uri="http://schemas.amf.org/daj"/>
    <ds:schemaRef ds:uri="http://schemas.openxmlformats.org/package/2006/metadata/core-properties"/>
    <ds:schemaRef ds:uri="http://schemas.microsoft.com/office/2006/metadata/properties"/>
    <ds:schemaRef ds:uri="http://purl.org/dc/elements/1.1/"/>
    <ds:schemaRef ds:uri="108651a7-7c1e-44e5-8637-7e25352c12ae"/>
    <ds:schemaRef ds:uri="http://www.w3.org/XML/1998/namespace"/>
  </ds:schemaRefs>
</ds:datastoreItem>
</file>

<file path=customXml/itemProps4.xml><?xml version="1.0" encoding="utf-8"?>
<ds:datastoreItem xmlns:ds="http://schemas.openxmlformats.org/officeDocument/2006/customXml" ds:itemID="{990E33AB-9B93-4CBB-8318-C6B4D15E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949</Words>
  <Characters>5224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AMF</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Coornaden</dc:creator>
  <cp:lastModifiedBy>GOUBY Nathalie</cp:lastModifiedBy>
  <cp:revision>23</cp:revision>
  <cp:lastPrinted>2017-04-05T16:00:00Z</cp:lastPrinted>
  <dcterms:created xsi:type="dcterms:W3CDTF">2017-03-22T11:08:00Z</dcterms:created>
  <dcterms:modified xsi:type="dcterms:W3CDTF">2017-05-16T13:05:00Z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0x01010046D2C1E2F3584063AA82C7EBA14DB512009F5EA2C4168BFF4C800F7325DFF7DFB8</vt:lpwstr>
  </property>
</Properties>
</file>