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4F4B5B">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333F69" w:rsidP="00F65D9C">
      <w:pPr>
        <w:pStyle w:val="AMFDoctrineTextesrfrence"/>
        <w:rPr>
          <w:snapToGrid w:val="0"/>
        </w:rPr>
      </w:pPr>
      <w:r>
        <w:rPr>
          <w:snapToGrid w:val="0"/>
        </w:rPr>
        <w:t>Engagement de l’expert vis-à-vis de l’Autorité des marchés financiers</w:t>
      </w:r>
    </w:p>
    <w:p w:rsidR="00333F69" w:rsidRPr="00333F69" w:rsidRDefault="00333F69" w:rsidP="00333F69">
      <w:pPr>
        <w:jc w:val="both"/>
        <w:rPr>
          <w:rFonts w:ascii="Calibri" w:hAnsi="Calibri" w:cs="Arial"/>
          <w:b/>
          <w:sz w:val="20"/>
          <w:szCs w:val="20"/>
        </w:rPr>
      </w:pPr>
      <w:r w:rsidRPr="00333F69">
        <w:rPr>
          <w:rFonts w:ascii="Calibri" w:hAnsi="Calibri" w:cs="Arial"/>
          <w:sz w:val="20"/>
          <w:szCs w:val="20"/>
        </w:rPr>
        <w:t>Ce document constitue l’annexe III de l’instruction AMF DOC-</w:t>
      </w:r>
      <w:r>
        <w:rPr>
          <w:rFonts w:ascii="Calibri" w:hAnsi="Calibri" w:cs="Arial"/>
          <w:sz w:val="20"/>
          <w:szCs w:val="20"/>
        </w:rPr>
        <w:t>2019</w:t>
      </w:r>
      <w:r w:rsidRPr="00333F69">
        <w:rPr>
          <w:rFonts w:ascii="Calibri" w:hAnsi="Calibri" w:cs="Arial"/>
          <w:sz w:val="20"/>
          <w:szCs w:val="20"/>
        </w:rPr>
        <w:t>-</w:t>
      </w:r>
      <w:r w:rsidR="004F4B5B">
        <w:rPr>
          <w:rFonts w:ascii="Calibri" w:hAnsi="Calibri" w:cs="Arial"/>
          <w:sz w:val="20"/>
          <w:szCs w:val="20"/>
        </w:rPr>
        <w:t>04</w:t>
      </w:r>
      <w:r>
        <w:rPr>
          <w:rFonts w:ascii="Calibri" w:hAnsi="Calibri" w:cs="Arial"/>
          <w:sz w:val="20"/>
          <w:szCs w:val="20"/>
        </w:rPr>
        <w:t xml:space="preserve"> –</w:t>
      </w:r>
      <w:r w:rsidRPr="00333F69">
        <w:rPr>
          <w:rFonts w:ascii="Calibri" w:hAnsi="Calibri" w:cs="Arial"/>
          <w:sz w:val="20"/>
          <w:szCs w:val="20"/>
        </w:rPr>
        <w:t xml:space="preserve"> Sociétés civiles de placement immobilier, sociétés d’épargne forestière et groupements forestiers d’investissement</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sz w:val="20"/>
          <w:szCs w:val="20"/>
        </w:rPr>
      </w:pPr>
      <w:r w:rsidRPr="00333F69">
        <w:rPr>
          <w:rFonts w:ascii="Calibri" w:hAnsi="Calibri" w:cs="Arial"/>
          <w:sz w:val="20"/>
          <w:szCs w:val="20"/>
        </w:rPr>
        <w:t>L'expert pressenti signera le texte suivant :</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b/>
          <w:sz w:val="20"/>
          <w:szCs w:val="20"/>
          <w:u w:val="single"/>
        </w:rPr>
      </w:pPr>
      <w:r w:rsidRPr="00333F69">
        <w:rPr>
          <w:rFonts w:ascii="Calibri" w:hAnsi="Calibri" w:cs="Arial"/>
          <w:b/>
          <w:sz w:val="20"/>
          <w:szCs w:val="20"/>
          <w:u w:val="single"/>
        </w:rPr>
        <w:t>Pour les SCPI :</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sz w:val="20"/>
          <w:szCs w:val="20"/>
        </w:rPr>
      </w:pPr>
      <w:r>
        <w:rPr>
          <w:rFonts w:ascii="Calibri" w:hAnsi="Calibri" w:cs="Arial"/>
          <w:sz w:val="20"/>
          <w:szCs w:val="20"/>
        </w:rPr>
        <w:t>« </w:t>
      </w:r>
      <w:r w:rsidRPr="00333F69">
        <w:rPr>
          <w:rFonts w:ascii="Calibri" w:hAnsi="Calibri" w:cs="Arial"/>
          <w:sz w:val="20"/>
          <w:szCs w:val="20"/>
        </w:rPr>
        <w:t>L'expert soussigné reconnaît avoir par</w:t>
      </w:r>
      <w:r w:rsidR="00E77377">
        <w:rPr>
          <w:rFonts w:ascii="Calibri" w:hAnsi="Calibri" w:cs="Arial"/>
          <w:sz w:val="20"/>
          <w:szCs w:val="20"/>
        </w:rPr>
        <w:t>faite connaissance des articles</w:t>
      </w:r>
      <w:r w:rsidRPr="00333F69">
        <w:rPr>
          <w:rFonts w:ascii="Calibri" w:hAnsi="Calibri" w:cs="Arial"/>
          <w:sz w:val="20"/>
          <w:szCs w:val="20"/>
        </w:rPr>
        <w:t xml:space="preserve"> L. 214-86 à L. 214-120 et L. 231-8 à L. 231-21 du code monétaire et financi</w:t>
      </w:r>
      <w:r w:rsidR="00E77377">
        <w:rPr>
          <w:rFonts w:ascii="Calibri" w:hAnsi="Calibri" w:cs="Arial"/>
          <w:sz w:val="20"/>
          <w:szCs w:val="20"/>
        </w:rPr>
        <w:t xml:space="preserve">er et des textes réglementaires </w:t>
      </w:r>
      <w:r w:rsidRPr="00333F69">
        <w:rPr>
          <w:rFonts w:ascii="Calibri" w:hAnsi="Calibri" w:cs="Arial"/>
          <w:sz w:val="20"/>
          <w:szCs w:val="20"/>
        </w:rPr>
        <w:t>relatifs aux SCPI.</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sz w:val="20"/>
          <w:szCs w:val="20"/>
        </w:rPr>
      </w:pPr>
      <w:r w:rsidRPr="00333F69">
        <w:rPr>
          <w:rFonts w:ascii="Calibri" w:hAnsi="Calibri" w:cs="Arial"/>
          <w:sz w:val="20"/>
          <w:szCs w:val="20"/>
        </w:rPr>
        <w:t>Il déclare, dans l'exercice de la mission qui lui a été confiée, être indépendant de la société qui le mandate ou de ses représentants ainsi que des biens à évaluer, ne poursuivre aucune activité ou n'effectuer aucun acte de nature à porter atteinte à son indépendance que ce soit de manière directe ou indirecte. Il agit sous sa totale responsabilité.</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sz w:val="20"/>
          <w:szCs w:val="20"/>
        </w:rPr>
      </w:pPr>
      <w:r w:rsidRPr="00333F69">
        <w:rPr>
          <w:rFonts w:ascii="Calibri" w:hAnsi="Calibri" w:cs="Arial"/>
          <w:sz w:val="20"/>
          <w:szCs w:val="20"/>
        </w:rPr>
        <w:t>La qualité de fondateur ou de porteur de parts de la SCPI évaluée est incompatible avec cette mission.</w:t>
      </w:r>
    </w:p>
    <w:p w:rsidR="00333F69" w:rsidRPr="00333F69" w:rsidRDefault="00333F69" w:rsidP="00333F69">
      <w:pPr>
        <w:jc w:val="both"/>
        <w:rPr>
          <w:rFonts w:ascii="Calibri" w:hAnsi="Calibri" w:cs="Arial"/>
          <w:sz w:val="20"/>
          <w:szCs w:val="20"/>
        </w:rPr>
      </w:pPr>
      <w:r w:rsidRPr="00333F69">
        <w:rPr>
          <w:rFonts w:ascii="Calibri" w:hAnsi="Calibri" w:cs="Arial"/>
          <w:sz w:val="20"/>
          <w:szCs w:val="20"/>
        </w:rPr>
        <w:t>Il s'engage à rédiger un rapport annuel, daté et signé, recensant tous les éléments qui concourent à la détermination de la valeur vénale des immeubles et à le conclure par l'énoncé d'un chiffre représentant la valeur vénale hors taxes, hors droits du patrimoine locatif de la SCPI à la date de clôture de l'exercice.</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sz w:val="20"/>
          <w:szCs w:val="20"/>
        </w:rPr>
      </w:pPr>
      <w:r w:rsidRPr="00333F69">
        <w:rPr>
          <w:rFonts w:ascii="Calibri" w:hAnsi="Calibri" w:cs="Arial"/>
          <w:sz w:val="20"/>
          <w:szCs w:val="20"/>
        </w:rPr>
        <w:t>Il fournit séparément dans ce même rapport annuel, par immeuble et pour l'ensemble du patrimoine locatif, le montant des droits ou taxes nécessaires à une reconstitution de celui-ci.</w:t>
      </w:r>
    </w:p>
    <w:p w:rsidR="00333F69" w:rsidRPr="00333F69" w:rsidRDefault="00333F69" w:rsidP="00333F69">
      <w:pPr>
        <w:jc w:val="both"/>
        <w:rPr>
          <w:rFonts w:ascii="Calibri" w:hAnsi="Calibri" w:cs="Arial"/>
          <w:sz w:val="20"/>
          <w:szCs w:val="20"/>
        </w:rPr>
      </w:pPr>
      <w:r w:rsidRPr="00333F69">
        <w:rPr>
          <w:rFonts w:ascii="Calibri" w:hAnsi="Calibri" w:cs="Arial"/>
          <w:sz w:val="20"/>
          <w:szCs w:val="20"/>
        </w:rPr>
        <w:t>En cas de pluralité d'experts, ceux-ci cosignent le rapport annuel dont ils assument solidairement le contenu.</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sz w:val="20"/>
          <w:szCs w:val="20"/>
        </w:rPr>
      </w:pPr>
      <w:r w:rsidRPr="00333F69">
        <w:rPr>
          <w:rFonts w:ascii="Calibri" w:hAnsi="Calibri" w:cs="Arial"/>
          <w:sz w:val="20"/>
          <w:szCs w:val="20"/>
        </w:rPr>
        <w:t>L'expert s'engage à ne faire aucun usage commercial de son acceptation par l’AMF pour l'évaluation du patrimoine immobilier de la SCPI (</w:t>
      </w:r>
      <w:r>
        <w:rPr>
          <w:rFonts w:ascii="Calibri" w:hAnsi="Calibri" w:cs="Arial"/>
          <w:sz w:val="20"/>
          <w:szCs w:val="20"/>
        </w:rPr>
        <w:t>dénomination). »</w:t>
      </w:r>
    </w:p>
    <w:p w:rsidR="00333F69" w:rsidRPr="00333F69" w:rsidRDefault="00333F69" w:rsidP="00333F69">
      <w:pPr>
        <w:jc w:val="both"/>
        <w:rPr>
          <w:rFonts w:ascii="Calibri" w:hAnsi="Calibri" w:cs="Arial"/>
          <w:b/>
          <w:bCs/>
          <w:sz w:val="20"/>
          <w:szCs w:val="20"/>
        </w:rPr>
      </w:pPr>
    </w:p>
    <w:p w:rsidR="00333F69" w:rsidRPr="00333F69" w:rsidRDefault="00333F69" w:rsidP="00333F69">
      <w:pPr>
        <w:jc w:val="both"/>
        <w:rPr>
          <w:rFonts w:ascii="Calibri" w:hAnsi="Calibri" w:cs="Arial"/>
          <w:b/>
          <w:bCs/>
          <w:sz w:val="20"/>
          <w:szCs w:val="20"/>
          <w:u w:val="single"/>
        </w:rPr>
      </w:pPr>
      <w:bookmarkStart w:id="1" w:name="_Toc401939581"/>
      <w:r w:rsidRPr="00333F69">
        <w:rPr>
          <w:rFonts w:ascii="Calibri" w:hAnsi="Calibri" w:cs="Arial"/>
          <w:b/>
          <w:bCs/>
          <w:sz w:val="20"/>
          <w:szCs w:val="20"/>
          <w:u w:val="single"/>
        </w:rPr>
        <w:t>Pour les SEF :</w:t>
      </w:r>
      <w:bookmarkEnd w:id="1"/>
    </w:p>
    <w:p w:rsidR="00333F69" w:rsidRPr="00333F69" w:rsidRDefault="00333F69" w:rsidP="00333F69">
      <w:pPr>
        <w:jc w:val="both"/>
        <w:rPr>
          <w:rFonts w:ascii="Calibri" w:hAnsi="Calibri" w:cs="Arial"/>
          <w:b/>
          <w:bCs/>
          <w:sz w:val="20"/>
          <w:szCs w:val="20"/>
        </w:rPr>
      </w:pPr>
    </w:p>
    <w:p w:rsidR="00333F69" w:rsidRPr="00333F69" w:rsidRDefault="00333F69" w:rsidP="00333F69">
      <w:pPr>
        <w:jc w:val="both"/>
        <w:rPr>
          <w:rFonts w:ascii="Calibri" w:hAnsi="Calibri" w:cs="Arial"/>
          <w:sz w:val="20"/>
          <w:szCs w:val="20"/>
        </w:rPr>
      </w:pPr>
      <w:r>
        <w:rPr>
          <w:rFonts w:ascii="Calibri" w:hAnsi="Calibri" w:cs="Arial"/>
          <w:sz w:val="20"/>
          <w:szCs w:val="20"/>
        </w:rPr>
        <w:t>« </w:t>
      </w:r>
      <w:r w:rsidRPr="00333F69">
        <w:rPr>
          <w:rFonts w:ascii="Calibri" w:hAnsi="Calibri" w:cs="Arial"/>
          <w:sz w:val="20"/>
          <w:szCs w:val="20"/>
        </w:rPr>
        <w:t>L'expert soussigné reconnaît avoir parfaite connaissance des articles L. 214-86 à L. 214-113, L. 214-121 à L. 214-126 du code monétaire et financier et des textes réglementaires relatifs aux SEF.</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Il déclare, dans l'exercice de la mission qui lui a été confiée, être indépendant de la société qui le mandate ou de ses représentants ainsi que des biens à évaluer, ne poursuivre aucune activité ou n'effectuer aucun acte de nature à porter atteinte à son indépendance que ce soit de manière directe ou indirecte. Il agit sous sa totale responsabilité.</w:t>
      </w:r>
    </w:p>
    <w:p w:rsidR="00333F69" w:rsidRPr="00333F69" w:rsidRDefault="00333F69" w:rsidP="00333F69">
      <w:pPr>
        <w:jc w:val="both"/>
        <w:rPr>
          <w:rFonts w:ascii="Calibri" w:hAnsi="Calibri" w:cs="Arial"/>
          <w:iCs/>
          <w:sz w:val="20"/>
          <w:szCs w:val="20"/>
        </w:rPr>
      </w:pP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La qualité de fondateur ou de porteur de parts de la SEF évaluée est incompatible avec cette mission.</w:t>
      </w: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Il s'engage à rédiger un rapport annuel, daté et signé, recensant tous les éléments qui concourent à la détermination de la valeur vénale des actifs forestiers dont l’expertise lui a été confiée et à le conclure par l'énoncé d'un chiffre représentant la valeur vénale hors taxes, hors droits du patrimoine forestier de la SEF à la date de clôture de l'exercice.</w:t>
      </w:r>
    </w:p>
    <w:p w:rsidR="00333F69" w:rsidRPr="00333F69" w:rsidRDefault="00333F69" w:rsidP="00333F69">
      <w:pPr>
        <w:jc w:val="both"/>
        <w:rPr>
          <w:rFonts w:ascii="Calibri" w:hAnsi="Calibri" w:cs="Arial"/>
          <w:iCs/>
          <w:sz w:val="20"/>
          <w:szCs w:val="20"/>
        </w:rPr>
      </w:pP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Il fournit séparément dans ce même rapport annuel, par bien forestier et pour l'ensemble du patrimoine dont l’expertise lui a été confiée, le montant des droits ou taxes nécessaires à une reconstitution de celui-ci.</w:t>
      </w:r>
    </w:p>
    <w:p w:rsidR="00333F69" w:rsidRPr="00333F69" w:rsidRDefault="00333F69" w:rsidP="00333F69">
      <w:pPr>
        <w:jc w:val="both"/>
        <w:rPr>
          <w:rFonts w:ascii="Calibri" w:hAnsi="Calibri" w:cs="Arial"/>
          <w:iCs/>
          <w:sz w:val="20"/>
          <w:szCs w:val="20"/>
        </w:rPr>
      </w:pPr>
    </w:p>
    <w:p w:rsidR="00333F69" w:rsidRPr="00333F69" w:rsidRDefault="00333F69" w:rsidP="00333F69">
      <w:pPr>
        <w:jc w:val="both"/>
        <w:rPr>
          <w:rFonts w:ascii="Calibri" w:hAnsi="Calibri" w:cs="Arial"/>
          <w:sz w:val="20"/>
          <w:szCs w:val="20"/>
        </w:rPr>
      </w:pPr>
      <w:r w:rsidRPr="00333F69">
        <w:rPr>
          <w:rFonts w:ascii="Calibri" w:hAnsi="Calibri" w:cs="Arial"/>
          <w:iCs/>
          <w:sz w:val="20"/>
          <w:szCs w:val="20"/>
        </w:rPr>
        <w:t>L'expert s'engage à ne faire aucun usage commercial de son acceptation par l’Autorité des marchés</w:t>
      </w:r>
      <w:r w:rsidRPr="00333F69">
        <w:rPr>
          <w:rFonts w:ascii="Calibri" w:hAnsi="Calibri" w:cs="Arial"/>
          <w:b/>
          <w:iCs/>
          <w:sz w:val="20"/>
          <w:szCs w:val="20"/>
        </w:rPr>
        <w:t xml:space="preserve"> </w:t>
      </w:r>
      <w:r w:rsidRPr="00333F69">
        <w:rPr>
          <w:rFonts w:ascii="Calibri" w:hAnsi="Calibri" w:cs="Arial"/>
          <w:iCs/>
          <w:sz w:val="20"/>
          <w:szCs w:val="20"/>
        </w:rPr>
        <w:t>financiers pour l'évaluation du patrimoine forestier de la SEF</w:t>
      </w:r>
      <w:r>
        <w:rPr>
          <w:rFonts w:ascii="Calibri" w:hAnsi="Calibri" w:cs="Arial"/>
          <w:iCs/>
          <w:sz w:val="20"/>
          <w:szCs w:val="20"/>
        </w:rPr>
        <w:t xml:space="preserve"> (dénomination). »</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b/>
          <w:bCs/>
          <w:sz w:val="20"/>
          <w:szCs w:val="20"/>
          <w:u w:val="single"/>
        </w:rPr>
      </w:pPr>
      <w:r w:rsidRPr="00333F69">
        <w:rPr>
          <w:rFonts w:ascii="Calibri" w:hAnsi="Calibri" w:cs="Arial"/>
          <w:b/>
          <w:bCs/>
          <w:sz w:val="20"/>
          <w:szCs w:val="20"/>
          <w:u w:val="single"/>
        </w:rPr>
        <w:t>Pour les GFI :</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sz w:val="20"/>
          <w:szCs w:val="20"/>
        </w:rPr>
      </w:pPr>
      <w:r>
        <w:rPr>
          <w:rFonts w:ascii="Calibri" w:hAnsi="Calibri" w:cs="Arial"/>
          <w:sz w:val="20"/>
          <w:szCs w:val="20"/>
        </w:rPr>
        <w:t>« </w:t>
      </w:r>
      <w:r w:rsidRPr="00333F69">
        <w:rPr>
          <w:rFonts w:ascii="Calibri" w:hAnsi="Calibri" w:cs="Arial"/>
          <w:sz w:val="20"/>
          <w:szCs w:val="20"/>
        </w:rPr>
        <w:t>L'expert soussigné reconnaît avoir parfaite connaissance de l’article L. 331-4-1 du code forestier, des articles L. 214-86 à L. 214-113 du code monétaire et financier et des textes réglementaires relatifs aux GFI.</w:t>
      </w:r>
    </w:p>
    <w:p w:rsidR="00333F69" w:rsidRPr="00333F69" w:rsidRDefault="00333F69" w:rsidP="00333F69">
      <w:pPr>
        <w:jc w:val="both"/>
        <w:rPr>
          <w:rFonts w:ascii="Calibri" w:hAnsi="Calibri" w:cs="Arial"/>
          <w:sz w:val="20"/>
          <w:szCs w:val="20"/>
        </w:rPr>
      </w:pP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Il déclare, dans l'exercice de la mission qui lui a été confiée, être indépendant de la société qui le mandate ou de ses représentants ainsi que des biens à évaluer, ne poursuivre aucune activité ou n'effectuer aucun acte de nature à porter atteinte à son indépendance que ce soit de manière directe ou indirecte. Il agit sous sa totale responsabilité.</w:t>
      </w:r>
    </w:p>
    <w:p w:rsidR="00333F69" w:rsidRPr="00333F69" w:rsidRDefault="00333F69" w:rsidP="00333F69">
      <w:pPr>
        <w:jc w:val="both"/>
        <w:rPr>
          <w:rFonts w:ascii="Calibri" w:hAnsi="Calibri" w:cs="Arial"/>
          <w:iCs/>
          <w:sz w:val="20"/>
          <w:szCs w:val="20"/>
        </w:rPr>
      </w:pP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La qualité de fondateur ou de porteur de parts du GFI évaluée est incompatible avec cette mission.</w:t>
      </w: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Il s'engage à rédiger un rapport annuel, daté et signé, recensant tous les éléments qui concourent à la détermination de la valeur vénale des actifs forestiers dont l’expertise lui a été confiée et à le conclure par l'énoncé d'un chiffre représentant la valeur vénale hors taxes, hors droits du patrimoine forestier du GFI à la date de clôture de l'exercice.</w:t>
      </w:r>
    </w:p>
    <w:p w:rsidR="00333F69" w:rsidRPr="00333F69" w:rsidRDefault="00333F69" w:rsidP="00333F69">
      <w:pPr>
        <w:jc w:val="both"/>
        <w:rPr>
          <w:rFonts w:ascii="Calibri" w:hAnsi="Calibri" w:cs="Arial"/>
          <w:iCs/>
          <w:sz w:val="20"/>
          <w:szCs w:val="20"/>
        </w:rPr>
      </w:pPr>
    </w:p>
    <w:p w:rsidR="00333F69" w:rsidRPr="00333F69" w:rsidRDefault="00333F69" w:rsidP="00333F69">
      <w:pPr>
        <w:jc w:val="both"/>
        <w:rPr>
          <w:rFonts w:ascii="Calibri" w:hAnsi="Calibri" w:cs="Arial"/>
          <w:iCs/>
          <w:sz w:val="20"/>
          <w:szCs w:val="20"/>
        </w:rPr>
      </w:pPr>
      <w:r w:rsidRPr="00333F69">
        <w:rPr>
          <w:rFonts w:ascii="Calibri" w:hAnsi="Calibri" w:cs="Arial"/>
          <w:iCs/>
          <w:sz w:val="20"/>
          <w:szCs w:val="20"/>
        </w:rPr>
        <w:t>Il fournit séparément dans ce même rapport annuel, par bien forestier et pour l'ensemble du patrimoine dont l’expertise lui a été confiée, le montant des droits ou taxes nécessaires à une reconstitution de celui-ci.</w:t>
      </w:r>
    </w:p>
    <w:p w:rsidR="00333F69" w:rsidRPr="00333F69" w:rsidRDefault="00333F69" w:rsidP="00333F69">
      <w:pPr>
        <w:jc w:val="both"/>
        <w:rPr>
          <w:rFonts w:ascii="Calibri" w:hAnsi="Calibri" w:cs="Arial"/>
          <w:iCs/>
          <w:sz w:val="20"/>
          <w:szCs w:val="20"/>
        </w:rPr>
      </w:pPr>
    </w:p>
    <w:p w:rsidR="00333F69" w:rsidRPr="00333F69" w:rsidRDefault="00333F69" w:rsidP="00333F69">
      <w:pPr>
        <w:jc w:val="both"/>
        <w:rPr>
          <w:rFonts w:ascii="Calibri" w:hAnsi="Calibri" w:cs="Arial"/>
          <w:sz w:val="20"/>
          <w:szCs w:val="20"/>
        </w:rPr>
      </w:pPr>
      <w:r w:rsidRPr="00333F69">
        <w:rPr>
          <w:rFonts w:ascii="Calibri" w:hAnsi="Calibri" w:cs="Arial"/>
          <w:iCs/>
          <w:sz w:val="20"/>
          <w:szCs w:val="20"/>
        </w:rPr>
        <w:t>L'expert s'engage à ne faire aucun usage commercial de son acceptation par l’Autorité des marchés</w:t>
      </w:r>
      <w:r w:rsidRPr="00333F69">
        <w:rPr>
          <w:rFonts w:ascii="Calibri" w:hAnsi="Calibri" w:cs="Arial"/>
          <w:b/>
          <w:iCs/>
          <w:sz w:val="20"/>
          <w:szCs w:val="20"/>
        </w:rPr>
        <w:t xml:space="preserve"> </w:t>
      </w:r>
      <w:r w:rsidRPr="00333F69">
        <w:rPr>
          <w:rFonts w:ascii="Calibri" w:hAnsi="Calibri" w:cs="Arial"/>
          <w:iCs/>
          <w:sz w:val="20"/>
          <w:szCs w:val="20"/>
        </w:rPr>
        <w:t>financiers pour l'évaluation du patrimoine forestier du GFI</w:t>
      </w:r>
      <w:r>
        <w:rPr>
          <w:rFonts w:ascii="Calibri" w:hAnsi="Calibri" w:cs="Arial"/>
          <w:iCs/>
          <w:sz w:val="20"/>
          <w:szCs w:val="20"/>
        </w:rPr>
        <w:t xml:space="preserve"> (dénomination). »</w:t>
      </w:r>
    </w:p>
    <w:p w:rsidR="00333F69" w:rsidRPr="00333F69" w:rsidRDefault="00333F69" w:rsidP="00333F69">
      <w:pPr>
        <w:jc w:val="both"/>
        <w:rPr>
          <w:rFonts w:ascii="Calibri" w:hAnsi="Calibri" w:cs="Arial"/>
          <w:sz w:val="20"/>
          <w:szCs w:val="20"/>
          <w:u w:val="single"/>
        </w:rPr>
      </w:pPr>
    </w:p>
    <w:p w:rsidR="00330C47" w:rsidRPr="000C5F07" w:rsidRDefault="00330C47" w:rsidP="009F38C6">
      <w:pPr>
        <w:jc w:val="both"/>
        <w:rPr>
          <w:rFonts w:ascii="Calibri" w:hAnsi="Calibri" w:cs="Arial"/>
          <w:sz w:val="20"/>
          <w:szCs w:val="20"/>
        </w:rPr>
      </w:pPr>
    </w:p>
    <w:sectPr w:rsidR="00330C47" w:rsidRPr="000C5F07" w:rsidSect="00081395">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5A" w:rsidRDefault="00AE5A5A">
      <w:r>
        <w:separator/>
      </w:r>
    </w:p>
    <w:p w:rsidR="00AE5A5A" w:rsidRDefault="00AE5A5A"/>
  </w:endnote>
  <w:endnote w:type="continuationSeparator" w:id="0">
    <w:p w:rsidR="00AE5A5A" w:rsidRDefault="00AE5A5A">
      <w:r>
        <w:continuationSeparator/>
      </w:r>
    </w:p>
    <w:p w:rsidR="00AE5A5A" w:rsidRDefault="00AE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0D4749">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0D4749">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0D4749">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0D4749">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5A" w:rsidRDefault="00AE5A5A">
      <w:r>
        <w:separator/>
      </w:r>
    </w:p>
    <w:p w:rsidR="00AE5A5A" w:rsidRDefault="00AE5A5A"/>
  </w:footnote>
  <w:footnote w:type="continuationSeparator" w:id="0">
    <w:p w:rsidR="00AE5A5A" w:rsidRDefault="00AE5A5A">
      <w:r>
        <w:continuationSeparator/>
      </w:r>
    </w:p>
    <w:p w:rsidR="00AE5A5A" w:rsidRDefault="00AE5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pPr>
      <w:pStyle w:val="En-tte"/>
    </w:pPr>
    <w:r w:rsidRPr="00E1138C">
      <w:rPr>
        <w:noProof/>
      </w:rPr>
      <w:drawing>
        <wp:anchor distT="0" distB="0" distL="114300" distR="114300" simplePos="0" relativeHeight="251664896" behindDoc="1" locked="0" layoutInCell="1" allowOverlap="1" wp14:anchorId="13D70025" wp14:editId="3A2D4AFB">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7D3B0A" w:rsidRDefault="004F4B5B" w:rsidP="00D852FF">
    <w:pPr>
      <w:pStyle w:val="AMFDoctrineEntete2"/>
      <w:pBdr>
        <w:bottom w:val="single" w:sz="4" w:space="1" w:color="auto"/>
      </w:pBdr>
    </w:pPr>
    <w:r>
      <w:t>Annexe III de l’</w:t>
    </w:r>
    <w:r w:rsidR="00F520CB">
      <w:t>Instruction DOC-2019-</w:t>
    </w:r>
    <w:r>
      <w:t>04</w:t>
    </w:r>
    <w:r w:rsidR="00F520CB">
      <w:t xml:space="preserve"> - </w:t>
    </w:r>
    <w:r w:rsidRPr="004F4B5B">
      <w:t>Sociétés civiles de placement immobilier, sociétés d’épargne forestière et groupements forestiers d’investissement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Flêche_AMF_blc"/>
      </v:shape>
    </w:pict>
  </w:numPicBullet>
  <w:abstractNum w:abstractNumId="0">
    <w:nsid w:val="FFFFFFFE"/>
    <w:multiLevelType w:val="singleLevel"/>
    <w:tmpl w:val="82A8C6D0"/>
    <w:lvl w:ilvl="0">
      <w:numFmt w:val="bullet"/>
      <w:lvlText w:val="*"/>
      <w:lvlJc w:val="left"/>
    </w:lvl>
  </w:abstractNum>
  <w:abstractNum w:abstractNumId="1">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0">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4ABD0621"/>
    <w:multiLevelType w:val="hybridMultilevel"/>
    <w:tmpl w:val="A94C67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16"/>
  </w:num>
  <w:num w:numId="4">
    <w:abstractNumId w:val="27"/>
  </w:num>
  <w:num w:numId="5">
    <w:abstractNumId w:val="2"/>
  </w:num>
  <w:num w:numId="6">
    <w:abstractNumId w:val="17"/>
  </w:num>
  <w:num w:numId="7">
    <w:abstractNumId w:val="14"/>
  </w:num>
  <w:num w:numId="8">
    <w:abstractNumId w:val="7"/>
  </w:num>
  <w:num w:numId="9">
    <w:abstractNumId w:val="24"/>
  </w:num>
  <w:num w:numId="10">
    <w:abstractNumId w:val="4"/>
  </w:num>
  <w:num w:numId="11">
    <w:abstractNumId w:val="10"/>
  </w:num>
  <w:num w:numId="12">
    <w:abstractNumId w:val="26"/>
  </w:num>
  <w:num w:numId="13">
    <w:abstractNumId w:val="25"/>
  </w:num>
  <w:num w:numId="14">
    <w:abstractNumId w:val="11"/>
  </w:num>
  <w:num w:numId="15">
    <w:abstractNumId w:val="23"/>
  </w:num>
  <w:num w:numId="16">
    <w:abstractNumId w:val="12"/>
  </w:num>
  <w:num w:numId="17">
    <w:abstractNumId w:val="22"/>
  </w:num>
  <w:num w:numId="18">
    <w:abstractNumId w:val="20"/>
  </w:num>
  <w:num w:numId="19">
    <w:abstractNumId w:val="5"/>
  </w:num>
  <w:num w:numId="20">
    <w:abstractNumId w:val="19"/>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6"/>
  </w:num>
  <w:num w:numId="23">
    <w:abstractNumId w:val="9"/>
  </w:num>
  <w:num w:numId="24">
    <w:abstractNumId w:val="21"/>
  </w:num>
  <w:num w:numId="25">
    <w:abstractNumId w:val="8"/>
  </w:num>
  <w:num w:numId="26">
    <w:abstractNumId w:val="18"/>
  </w:num>
  <w:num w:numId="27">
    <w:abstractNumId w:val="13"/>
  </w:num>
  <w:num w:numId="2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30BC5"/>
    <w:rsid w:val="000343F2"/>
    <w:rsid w:val="00036F73"/>
    <w:rsid w:val="00041B0E"/>
    <w:rsid w:val="00044536"/>
    <w:rsid w:val="000640D7"/>
    <w:rsid w:val="000767FD"/>
    <w:rsid w:val="00081395"/>
    <w:rsid w:val="00093D5C"/>
    <w:rsid w:val="000B0E47"/>
    <w:rsid w:val="000B7F59"/>
    <w:rsid w:val="000D4749"/>
    <w:rsid w:val="00121936"/>
    <w:rsid w:val="0012748A"/>
    <w:rsid w:val="0013025C"/>
    <w:rsid w:val="00130E0A"/>
    <w:rsid w:val="0013291C"/>
    <w:rsid w:val="00142286"/>
    <w:rsid w:val="00147602"/>
    <w:rsid w:val="00187196"/>
    <w:rsid w:val="001C7443"/>
    <w:rsid w:val="001E3C31"/>
    <w:rsid w:val="001E4F6A"/>
    <w:rsid w:val="001F2A58"/>
    <w:rsid w:val="001F31C6"/>
    <w:rsid w:val="002169A1"/>
    <w:rsid w:val="00220FEC"/>
    <w:rsid w:val="00221204"/>
    <w:rsid w:val="002303A7"/>
    <w:rsid w:val="00232514"/>
    <w:rsid w:val="00237854"/>
    <w:rsid w:val="002434A6"/>
    <w:rsid w:val="002439C4"/>
    <w:rsid w:val="00257FA5"/>
    <w:rsid w:val="002673E1"/>
    <w:rsid w:val="00283EE8"/>
    <w:rsid w:val="002B722D"/>
    <w:rsid w:val="002C5D9F"/>
    <w:rsid w:val="002E4658"/>
    <w:rsid w:val="002F705A"/>
    <w:rsid w:val="00321180"/>
    <w:rsid w:val="00330C47"/>
    <w:rsid w:val="0033290D"/>
    <w:rsid w:val="00333E95"/>
    <w:rsid w:val="00333F69"/>
    <w:rsid w:val="00341A63"/>
    <w:rsid w:val="00365E82"/>
    <w:rsid w:val="00367774"/>
    <w:rsid w:val="003B0015"/>
    <w:rsid w:val="003C0E64"/>
    <w:rsid w:val="003D0424"/>
    <w:rsid w:val="003E1B7E"/>
    <w:rsid w:val="003E7641"/>
    <w:rsid w:val="00414A1A"/>
    <w:rsid w:val="00422D54"/>
    <w:rsid w:val="004354F0"/>
    <w:rsid w:val="004446EE"/>
    <w:rsid w:val="00445D62"/>
    <w:rsid w:val="00450248"/>
    <w:rsid w:val="004819F6"/>
    <w:rsid w:val="0048530A"/>
    <w:rsid w:val="0049414F"/>
    <w:rsid w:val="004A23BD"/>
    <w:rsid w:val="004A5BD8"/>
    <w:rsid w:val="004C1F6F"/>
    <w:rsid w:val="004E7AFF"/>
    <w:rsid w:val="004E7D35"/>
    <w:rsid w:val="004F4B5B"/>
    <w:rsid w:val="005014C2"/>
    <w:rsid w:val="00504306"/>
    <w:rsid w:val="00511597"/>
    <w:rsid w:val="0053779E"/>
    <w:rsid w:val="005507E5"/>
    <w:rsid w:val="00593EDE"/>
    <w:rsid w:val="00597BE2"/>
    <w:rsid w:val="005C3809"/>
    <w:rsid w:val="005D6485"/>
    <w:rsid w:val="0060047C"/>
    <w:rsid w:val="0060466A"/>
    <w:rsid w:val="00610BBC"/>
    <w:rsid w:val="00614DA0"/>
    <w:rsid w:val="0066464A"/>
    <w:rsid w:val="00671F5C"/>
    <w:rsid w:val="00677C18"/>
    <w:rsid w:val="00694322"/>
    <w:rsid w:val="006A0BB1"/>
    <w:rsid w:val="006B0DBA"/>
    <w:rsid w:val="006B43A8"/>
    <w:rsid w:val="006D254E"/>
    <w:rsid w:val="006E465F"/>
    <w:rsid w:val="006E6631"/>
    <w:rsid w:val="006E7810"/>
    <w:rsid w:val="006F4DC2"/>
    <w:rsid w:val="00720B19"/>
    <w:rsid w:val="007427E9"/>
    <w:rsid w:val="007759C7"/>
    <w:rsid w:val="007C2CD0"/>
    <w:rsid w:val="007D3314"/>
    <w:rsid w:val="007D3B0A"/>
    <w:rsid w:val="007F1B3D"/>
    <w:rsid w:val="00826BA0"/>
    <w:rsid w:val="00847B57"/>
    <w:rsid w:val="00882A97"/>
    <w:rsid w:val="0088329D"/>
    <w:rsid w:val="008A36E1"/>
    <w:rsid w:val="008A64B6"/>
    <w:rsid w:val="008B2E32"/>
    <w:rsid w:val="009156F1"/>
    <w:rsid w:val="009176C3"/>
    <w:rsid w:val="00936C33"/>
    <w:rsid w:val="00946DCC"/>
    <w:rsid w:val="00967A48"/>
    <w:rsid w:val="0097706F"/>
    <w:rsid w:val="00977DAF"/>
    <w:rsid w:val="009923DA"/>
    <w:rsid w:val="009D0584"/>
    <w:rsid w:val="009D49FF"/>
    <w:rsid w:val="009E074D"/>
    <w:rsid w:val="009F38C6"/>
    <w:rsid w:val="00A127C9"/>
    <w:rsid w:val="00A239F1"/>
    <w:rsid w:val="00A27142"/>
    <w:rsid w:val="00A375FC"/>
    <w:rsid w:val="00A558DF"/>
    <w:rsid w:val="00A7187C"/>
    <w:rsid w:val="00A762A1"/>
    <w:rsid w:val="00A83B02"/>
    <w:rsid w:val="00A84BE5"/>
    <w:rsid w:val="00A84D0C"/>
    <w:rsid w:val="00A901E3"/>
    <w:rsid w:val="00AB2122"/>
    <w:rsid w:val="00AB5401"/>
    <w:rsid w:val="00AC2B18"/>
    <w:rsid w:val="00AC763C"/>
    <w:rsid w:val="00AD72C2"/>
    <w:rsid w:val="00AE2F4F"/>
    <w:rsid w:val="00AE5A5A"/>
    <w:rsid w:val="00AF529B"/>
    <w:rsid w:val="00B15BB5"/>
    <w:rsid w:val="00B20805"/>
    <w:rsid w:val="00B229B0"/>
    <w:rsid w:val="00B80096"/>
    <w:rsid w:val="00BF41DE"/>
    <w:rsid w:val="00BF499B"/>
    <w:rsid w:val="00C022DC"/>
    <w:rsid w:val="00C109BF"/>
    <w:rsid w:val="00C14E6D"/>
    <w:rsid w:val="00C26007"/>
    <w:rsid w:val="00C378CD"/>
    <w:rsid w:val="00C41897"/>
    <w:rsid w:val="00C66FD3"/>
    <w:rsid w:val="00C82BAD"/>
    <w:rsid w:val="00C96044"/>
    <w:rsid w:val="00CF1825"/>
    <w:rsid w:val="00D10E52"/>
    <w:rsid w:val="00D318D4"/>
    <w:rsid w:val="00D37B45"/>
    <w:rsid w:val="00D52CFD"/>
    <w:rsid w:val="00D54E38"/>
    <w:rsid w:val="00D77309"/>
    <w:rsid w:val="00D852FF"/>
    <w:rsid w:val="00D918E5"/>
    <w:rsid w:val="00D97D57"/>
    <w:rsid w:val="00DE134B"/>
    <w:rsid w:val="00E049BB"/>
    <w:rsid w:val="00E1204F"/>
    <w:rsid w:val="00E126BF"/>
    <w:rsid w:val="00E15349"/>
    <w:rsid w:val="00E20CA9"/>
    <w:rsid w:val="00E34B0C"/>
    <w:rsid w:val="00E46668"/>
    <w:rsid w:val="00E46703"/>
    <w:rsid w:val="00E56533"/>
    <w:rsid w:val="00E623B7"/>
    <w:rsid w:val="00E66D10"/>
    <w:rsid w:val="00E726EC"/>
    <w:rsid w:val="00E74AAB"/>
    <w:rsid w:val="00E77377"/>
    <w:rsid w:val="00E83DF2"/>
    <w:rsid w:val="00EB3AD1"/>
    <w:rsid w:val="00F520CB"/>
    <w:rsid w:val="00F5538B"/>
    <w:rsid w:val="00F62D0A"/>
    <w:rsid w:val="00F65D9C"/>
    <w:rsid w:val="00F7202C"/>
    <w:rsid w:val="00F73AA2"/>
    <w:rsid w:val="00F912A6"/>
    <w:rsid w:val="00FA15E9"/>
    <w:rsid w:val="00FA17D3"/>
    <w:rsid w:val="00FA2ACD"/>
    <w:rsid w:val="00FB133E"/>
    <w:rsid w:val="00FB5346"/>
    <w:rsid w:val="00FD6717"/>
    <w:rsid w:val="00FF25AF"/>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Interne</TermName>
          <TermId>9d8c7cc9-3534-4572-9708-31d6127f3b6e</TermId>
        </TermInfo>
      </Terms>
    </AMF_TaxoText_DocSource>
    <AMF_Publication_ValueDate xmlns="07B9963F-CEA8-48BB-8FBE-6793A66C4B52">2016-12-05T23:00:00+00:00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 xsi:nil="true"/>
    <_dlc_DocId xmlns="b4a743ce-4823-43db-b20d-7d3df7f7f039">WRY6JVYW45ZC-365-112</_dlc_DocId>
    <_dlc_DocIdUrl xmlns="b4a743ce-4823-43db-b20d-7d3df7f7f039">
      <Url>http://amf-et-nous/directions/DCOM/_layouts/DocIdRedir.aspx?ID=WRY6JVYW45ZC-365-112</Url>
      <Description>WRY6JVYW45ZC-365-112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b4a743ce-4823-43db-b20d-7d3df7f7f039"/>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7b9963f-cea8-48bb-8fbe-6793a66c4b52"/>
    <ds:schemaRef ds:uri="http://schemas.microsoft.com/sharepoint/v3"/>
    <ds:schemaRef ds:uri="http://purl.org/dc/elements/1.1/"/>
    <ds:schemaRef ds:uri="http://purl.org/dc/terms/"/>
    <ds:schemaRef ds:uri="C982FDA9-C52B-4FAF-AF49-78724E97E0EA"/>
    <ds:schemaRef ds:uri="07B9963F-CEA8-48BB-8FBE-6793A66C4B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F20A0B-9548-4D02-8662-0F5F54E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4.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5.xml><?xml version="1.0" encoding="utf-8"?>
<ds:datastoreItem xmlns:ds="http://schemas.openxmlformats.org/officeDocument/2006/customXml" ds:itemID="{CC59CA9D-C0DC-433E-B28D-D06461F0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GOUBY Nathalie</cp:lastModifiedBy>
  <cp:revision>7</cp:revision>
  <cp:lastPrinted>2017-12-01T09:53:00Z</cp:lastPrinted>
  <dcterms:created xsi:type="dcterms:W3CDTF">2019-02-27T14:05:00Z</dcterms:created>
  <dcterms:modified xsi:type="dcterms:W3CDTF">2019-03-08T16:02:00Z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