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621924">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F65D9C" w:rsidP="00F65D9C">
      <w:pPr>
        <w:pStyle w:val="AMFDoctrineTextesrfrence"/>
        <w:rPr>
          <w:snapToGrid w:val="0"/>
        </w:rPr>
      </w:pPr>
      <w:r w:rsidRPr="00F65D9C">
        <w:rPr>
          <w:snapToGrid w:val="0"/>
        </w:rPr>
        <w:t>Plan-type de la n</w:t>
      </w:r>
      <w:r w:rsidR="00330C47" w:rsidRPr="00F65D9C">
        <w:rPr>
          <w:snapToGrid w:val="0"/>
        </w:rPr>
        <w:t>ote d’</w:t>
      </w:r>
      <w:r w:rsidR="0099019C">
        <w:rPr>
          <w:snapToGrid w:val="0"/>
        </w:rPr>
        <w:t>information des sociétés d’épargne forestière</w:t>
      </w:r>
    </w:p>
    <w:p w:rsidR="00246C4C" w:rsidRPr="00246C4C" w:rsidRDefault="00246C4C" w:rsidP="00246C4C">
      <w:pPr>
        <w:jc w:val="both"/>
        <w:rPr>
          <w:rFonts w:ascii="Calibri" w:hAnsi="Calibri" w:cs="Arial"/>
          <w:b/>
          <w:sz w:val="20"/>
          <w:szCs w:val="20"/>
        </w:rPr>
      </w:pPr>
      <w:r w:rsidRPr="00246C4C">
        <w:rPr>
          <w:rFonts w:ascii="Calibri" w:hAnsi="Calibri" w:cs="Arial"/>
          <w:sz w:val="20"/>
          <w:szCs w:val="20"/>
        </w:rPr>
        <w:t>Ce document constitue l’annexe I bis de l’instruction AMF DOC-</w:t>
      </w:r>
      <w:r w:rsidR="0099019C">
        <w:rPr>
          <w:rFonts w:ascii="Calibri" w:hAnsi="Calibri" w:cs="Arial"/>
          <w:sz w:val="20"/>
          <w:szCs w:val="20"/>
        </w:rPr>
        <w:t>2019-</w:t>
      </w:r>
      <w:r w:rsidR="00621924">
        <w:rPr>
          <w:rFonts w:ascii="Calibri" w:hAnsi="Calibri" w:cs="Arial"/>
          <w:sz w:val="20"/>
          <w:szCs w:val="20"/>
        </w:rPr>
        <w:t>04</w:t>
      </w:r>
      <w:r w:rsidR="0099019C">
        <w:rPr>
          <w:rFonts w:ascii="Calibri" w:hAnsi="Calibri" w:cs="Arial"/>
          <w:sz w:val="20"/>
          <w:szCs w:val="20"/>
        </w:rPr>
        <w:t xml:space="preserve"> </w:t>
      </w:r>
      <w:r w:rsidRPr="00246C4C">
        <w:rPr>
          <w:rFonts w:ascii="Calibri" w:hAnsi="Calibri" w:cs="Arial"/>
          <w:sz w:val="20"/>
          <w:szCs w:val="20"/>
        </w:rPr>
        <w:t>- Sociétés civiles de placement immobilier, sociétés d’épargne forestière et groupements forestiers d’investissement</w:t>
      </w:r>
    </w:p>
    <w:p w:rsidR="00246C4C" w:rsidRPr="00246C4C" w:rsidRDefault="00246C4C" w:rsidP="00246C4C">
      <w:pPr>
        <w:jc w:val="both"/>
        <w:rPr>
          <w:rFonts w:ascii="Calibri" w:hAnsi="Calibri" w:cs="Arial"/>
          <w:sz w:val="20"/>
          <w:szCs w:val="20"/>
          <w:u w:val="single"/>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Introduction</w:t>
      </w:r>
    </w:p>
    <w:p w:rsidR="00246C4C" w:rsidRPr="00246C4C" w:rsidRDefault="00246C4C" w:rsidP="00246C4C">
      <w:pPr>
        <w:jc w:val="both"/>
        <w:rPr>
          <w:rFonts w:ascii="Calibri" w:hAnsi="Calibri" w:cs="Arial"/>
          <w:b/>
          <w:bCs/>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Mention indiquant si la SEF est :</w:t>
      </w:r>
    </w:p>
    <w:p w:rsidR="00246C4C" w:rsidRPr="00246C4C" w:rsidRDefault="00246C4C" w:rsidP="00246C4C">
      <w:pPr>
        <w:numPr>
          <w:ilvl w:val="0"/>
          <w:numId w:val="23"/>
        </w:numPr>
        <w:jc w:val="both"/>
        <w:rPr>
          <w:rFonts w:ascii="Calibri" w:hAnsi="Calibri" w:cs="Arial"/>
          <w:sz w:val="20"/>
          <w:szCs w:val="20"/>
        </w:rPr>
      </w:pPr>
      <w:r w:rsidRPr="00246C4C">
        <w:rPr>
          <w:rFonts w:ascii="Calibri" w:hAnsi="Calibri" w:cs="Arial"/>
          <w:sz w:val="20"/>
          <w:szCs w:val="20"/>
        </w:rPr>
        <w:t>à capital variable ;</w:t>
      </w:r>
    </w:p>
    <w:p w:rsidR="00246C4C" w:rsidRPr="00246C4C" w:rsidRDefault="00246C4C" w:rsidP="00246C4C">
      <w:pPr>
        <w:numPr>
          <w:ilvl w:val="0"/>
          <w:numId w:val="23"/>
        </w:numPr>
        <w:jc w:val="both"/>
        <w:rPr>
          <w:rFonts w:ascii="Calibri" w:hAnsi="Calibri" w:cs="Arial"/>
          <w:sz w:val="20"/>
          <w:szCs w:val="20"/>
        </w:rPr>
      </w:pPr>
      <w:r w:rsidRPr="00246C4C">
        <w:rPr>
          <w:rFonts w:ascii="Calibri" w:hAnsi="Calibri" w:cs="Arial"/>
          <w:sz w:val="20"/>
          <w:szCs w:val="20"/>
        </w:rPr>
        <w:t>à capital variable avec possibilité de cession des parts sur le marché secondaire en cas de blocage des retraits ;</w:t>
      </w:r>
    </w:p>
    <w:p w:rsidR="00246C4C" w:rsidRDefault="00246C4C" w:rsidP="0099019C">
      <w:pPr>
        <w:numPr>
          <w:ilvl w:val="0"/>
          <w:numId w:val="23"/>
        </w:numPr>
        <w:jc w:val="both"/>
        <w:rPr>
          <w:rFonts w:ascii="Calibri" w:hAnsi="Calibri" w:cs="Arial"/>
          <w:sz w:val="20"/>
          <w:szCs w:val="20"/>
        </w:rPr>
      </w:pPr>
      <w:r w:rsidRPr="00246C4C">
        <w:rPr>
          <w:rFonts w:ascii="Calibri" w:hAnsi="Calibri" w:cs="Arial"/>
          <w:sz w:val="20"/>
          <w:szCs w:val="20"/>
        </w:rPr>
        <w:t>à capital fixe.</w:t>
      </w:r>
    </w:p>
    <w:p w:rsidR="0099019C" w:rsidRPr="0099019C" w:rsidRDefault="0099019C" w:rsidP="0099019C">
      <w:pPr>
        <w:jc w:val="both"/>
        <w:rPr>
          <w:rFonts w:ascii="Calibri" w:hAnsi="Calibri" w:cs="Arial"/>
          <w:sz w:val="20"/>
          <w:szCs w:val="20"/>
        </w:rPr>
      </w:pPr>
    </w:p>
    <w:p w:rsidR="00246C4C" w:rsidRDefault="0099019C"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R</w:t>
      </w:r>
      <w:r w:rsidR="00246C4C" w:rsidRPr="00246C4C">
        <w:rPr>
          <w:rFonts w:ascii="Calibri" w:hAnsi="Calibri" w:cs="Arial"/>
          <w:sz w:val="20"/>
          <w:szCs w:val="20"/>
        </w:rPr>
        <w:t>enseignements sur les fondateurs ;</w:t>
      </w:r>
    </w:p>
    <w:p w:rsidR="0099019C" w:rsidRPr="0099019C" w:rsidRDefault="0099019C" w:rsidP="0099019C">
      <w:pPr>
        <w:jc w:val="both"/>
        <w:rPr>
          <w:rFonts w:ascii="Calibri" w:hAnsi="Calibri" w:cs="Arial"/>
          <w:sz w:val="20"/>
          <w:szCs w:val="20"/>
        </w:rPr>
      </w:pPr>
    </w:p>
    <w:p w:rsidR="00246C4C" w:rsidRPr="00246C4C" w:rsidRDefault="0099019C"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C</w:t>
      </w:r>
      <w:r w:rsidR="00246C4C" w:rsidRPr="00246C4C">
        <w:rPr>
          <w:rFonts w:ascii="Calibri" w:hAnsi="Calibri" w:cs="Arial"/>
          <w:sz w:val="20"/>
          <w:szCs w:val="20"/>
        </w:rPr>
        <w:t>aractéristiques d’une SEF et objectif</w:t>
      </w:r>
      <w:r w:rsidR="006B3B10">
        <w:rPr>
          <w:rFonts w:ascii="Calibri" w:hAnsi="Calibri" w:cs="Arial"/>
          <w:sz w:val="20"/>
          <w:szCs w:val="20"/>
        </w:rPr>
        <w:t>s et politique d’investissement</w:t>
      </w:r>
      <w:r w:rsidR="00246C4C" w:rsidRPr="00246C4C">
        <w:rPr>
          <w:rFonts w:ascii="Calibri" w:hAnsi="Calibri" w:cs="Arial"/>
          <w:sz w:val="20"/>
          <w:szCs w:val="20"/>
        </w:rPr>
        <w:t xml:space="preserve"> comprenant notamment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description des types d’actifs dans lesquels le SEF peut investir</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règles de composition de l’actif (part minimum de l’actif représentée par des liquidités et valeurs assimilées, parts de groupements forestiers, …)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modalités d’acquisition, d’échange et de cession des actifs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objectifs en termes de diversification (géographique, essence, degré d’équilibre)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liste exhaustive des charges supportées et produits générés par des bois détenus en direct avec indication, éventuellement, de calendriers et montants indicatifs selon les caractéristiques des bois et forêts recherchés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les charges correspondant aux travaux d’amélioration des bois et de leurs dépendances et accessoires, aux travaux d’entretien du patrimoine forestier, aux travaux de coupe des bois et opérations préalables et aux frais de gestion ;</w:t>
      </w:r>
    </w:p>
    <w:p w:rsidR="00246C4C" w:rsidRPr="00246C4C" w:rsidRDefault="00246C4C" w:rsidP="0099019C">
      <w:pPr>
        <w:numPr>
          <w:ilvl w:val="0"/>
          <w:numId w:val="32"/>
        </w:numPr>
        <w:jc w:val="both"/>
        <w:rPr>
          <w:rFonts w:ascii="Calibri" w:hAnsi="Calibri" w:cs="Arial"/>
          <w:sz w:val="20"/>
          <w:szCs w:val="20"/>
        </w:rPr>
      </w:pPr>
      <w:r w:rsidRPr="00246C4C">
        <w:rPr>
          <w:rFonts w:ascii="Calibri" w:hAnsi="Calibri" w:cs="Arial"/>
          <w:sz w:val="20"/>
          <w:szCs w:val="20"/>
        </w:rPr>
        <w:t>risques liés au placement forestier (revenus aléatoires au regard de l’évolution du prix des bois et des risques naturels) ;</w:t>
      </w:r>
    </w:p>
    <w:p w:rsidR="00246C4C" w:rsidRPr="00246C4C" w:rsidRDefault="00246C4C" w:rsidP="00246C4C">
      <w:pPr>
        <w:jc w:val="both"/>
        <w:rPr>
          <w:rFonts w:ascii="Calibri" w:hAnsi="Calibri" w:cs="Arial"/>
          <w:sz w:val="20"/>
          <w:szCs w:val="20"/>
        </w:rPr>
      </w:pPr>
    </w:p>
    <w:p w:rsid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42248F">
        <w:rPr>
          <w:rFonts w:ascii="Calibri" w:hAnsi="Calibri" w:cs="Arial"/>
          <w:sz w:val="20"/>
          <w:szCs w:val="20"/>
        </w:rPr>
        <w:t>description des techniques qu’elle peut employer et de tous les risques associés, des éventuelles restrictions à l’investissement applicables, des circonstances dans lesquelles la SEF peut faire appel à l’effet de levier, des types d’effets de levier</w:t>
      </w:r>
      <w:r w:rsidRPr="00A04FCD">
        <w:rPr>
          <w:rFonts w:ascii="Calibri" w:hAnsi="Calibri" w:cs="Arial"/>
          <w:sz w:val="20"/>
          <w:szCs w:val="20"/>
          <w:vertAlign w:val="superscript"/>
        </w:rPr>
        <w:footnoteReference w:id="1"/>
      </w:r>
      <w:r w:rsidR="0042248F" w:rsidRPr="0042248F">
        <w:rPr>
          <w:rFonts w:ascii="Calibri" w:hAnsi="Calibri" w:cs="Arial"/>
          <w:sz w:val="20"/>
          <w:szCs w:val="20"/>
        </w:rPr>
        <w:t xml:space="preserve"> </w:t>
      </w:r>
      <w:r w:rsidRPr="0042248F">
        <w:rPr>
          <w:rFonts w:ascii="Calibri" w:hAnsi="Calibri" w:cs="Arial"/>
          <w:sz w:val="20"/>
          <w:szCs w:val="20"/>
        </w:rPr>
        <w:t>et des sources des effets de levier autorisés et des risques associés, des éventuelles restrictions à l’utilisation de l’effet de levier, ainsi que le niveau de levier maximal que la société de gestion est habilité à em</w:t>
      </w:r>
      <w:r w:rsidR="0042248F">
        <w:rPr>
          <w:rFonts w:ascii="Calibri" w:hAnsi="Calibri" w:cs="Arial"/>
          <w:sz w:val="20"/>
          <w:szCs w:val="20"/>
        </w:rPr>
        <w:t>ployer pour le compte de la SEF.</w:t>
      </w:r>
    </w:p>
    <w:p w:rsidR="00171AB0" w:rsidRPr="0042248F" w:rsidRDefault="00171AB0" w:rsidP="00171AB0">
      <w:pPr>
        <w:ind w:left="709"/>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description des procédures pouvant être mises en œuvre par la SEF pour changer sa stratégie d’investissement ou sa politique d’investissement.</w:t>
      </w:r>
    </w:p>
    <w:p w:rsidR="00246C4C" w:rsidRPr="00246C4C" w:rsidRDefault="00246C4C" w:rsidP="0099019C">
      <w:pPr>
        <w:ind w:left="360"/>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date de souscription par les fondateurs ;</w:t>
      </w:r>
    </w:p>
    <w:p w:rsidR="00246C4C" w:rsidRPr="00246C4C" w:rsidRDefault="00246C4C" w:rsidP="00246C4C">
      <w:pPr>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responsabilité des associés ;</w:t>
      </w:r>
    </w:p>
    <w:p w:rsidR="00246C4C" w:rsidRPr="00246C4C" w:rsidRDefault="00246C4C" w:rsidP="00246C4C">
      <w:pPr>
        <w:jc w:val="both"/>
        <w:rPr>
          <w:rFonts w:ascii="Calibri" w:hAnsi="Calibri" w:cs="Arial"/>
          <w:sz w:val="20"/>
          <w:szCs w:val="20"/>
        </w:rPr>
      </w:pPr>
    </w:p>
    <w:p w:rsidR="00246C4C" w:rsidRPr="00246C4C" w:rsidRDefault="003A3F07"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p</w:t>
      </w:r>
      <w:r w:rsidR="00246C4C" w:rsidRPr="00246C4C">
        <w:rPr>
          <w:rFonts w:ascii="Calibri" w:hAnsi="Calibri" w:cs="Arial"/>
          <w:sz w:val="20"/>
          <w:szCs w:val="20"/>
        </w:rPr>
        <w:t>rincipaux facteurs de risques pour les investisseurs ;</w:t>
      </w:r>
    </w:p>
    <w:p w:rsidR="00246C4C" w:rsidRPr="00246C4C" w:rsidRDefault="00246C4C" w:rsidP="0099019C">
      <w:pPr>
        <w:ind w:left="360"/>
        <w:jc w:val="both"/>
        <w:rPr>
          <w:rFonts w:ascii="Calibri" w:hAnsi="Calibri" w:cs="Arial"/>
          <w:sz w:val="20"/>
          <w:szCs w:val="20"/>
        </w:rPr>
      </w:pPr>
    </w:p>
    <w:p w:rsidR="00246C4C" w:rsidRPr="00246C4C" w:rsidRDefault="003A3F07"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u</w:t>
      </w:r>
      <w:r w:rsidR="00246C4C" w:rsidRPr="00246C4C">
        <w:rPr>
          <w:rFonts w:ascii="Calibri" w:hAnsi="Calibri" w:cs="Arial"/>
          <w:sz w:val="20"/>
          <w:szCs w:val="20"/>
        </w:rPr>
        <w:t xml:space="preserve">ne description de la procédure d’évaluation de la SEF et de la méthodologie de détermination du prix employée pour évaluer la valeur des actifs, y compris les méthodes employées pour </w:t>
      </w:r>
      <w:r w:rsidR="00B70002">
        <w:rPr>
          <w:rFonts w:ascii="Calibri" w:hAnsi="Calibri" w:cs="Arial"/>
          <w:sz w:val="20"/>
          <w:szCs w:val="20"/>
        </w:rPr>
        <w:t>les actifs difficiles à évaluer ;</w:t>
      </w:r>
    </w:p>
    <w:p w:rsidR="00246C4C" w:rsidRPr="00246C4C" w:rsidRDefault="00246C4C" w:rsidP="0099019C">
      <w:pPr>
        <w:ind w:left="360"/>
        <w:jc w:val="both"/>
        <w:rPr>
          <w:rFonts w:ascii="Calibri" w:hAnsi="Calibri" w:cs="Arial"/>
          <w:sz w:val="20"/>
          <w:szCs w:val="20"/>
        </w:rPr>
      </w:pPr>
    </w:p>
    <w:p w:rsidR="00246C4C" w:rsidRPr="00246C4C" w:rsidRDefault="00B70002"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u</w:t>
      </w:r>
      <w:r w:rsidR="00246C4C" w:rsidRPr="00246C4C">
        <w:rPr>
          <w:rFonts w:ascii="Calibri" w:hAnsi="Calibri" w:cs="Arial"/>
          <w:sz w:val="20"/>
          <w:szCs w:val="20"/>
        </w:rPr>
        <w:t>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territoire de la République française.</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I</w:t>
      </w:r>
      <w:r w:rsidRPr="00246C4C">
        <w:rPr>
          <w:rFonts w:ascii="Calibri" w:hAnsi="Calibri" w:cs="Arial"/>
          <w:b/>
          <w:bCs/>
          <w:sz w:val="20"/>
          <w:szCs w:val="20"/>
          <w:vertAlign w:val="superscript"/>
        </w:rPr>
        <w:t>er</w:t>
      </w:r>
      <w:r w:rsidRPr="00246C4C">
        <w:rPr>
          <w:rFonts w:ascii="Calibri" w:hAnsi="Calibri" w:cs="Arial"/>
          <w:b/>
          <w:bCs/>
          <w:sz w:val="20"/>
          <w:szCs w:val="20"/>
        </w:rPr>
        <w:t xml:space="preserve"> - Conditions générales de souscription des parts</w:t>
      </w:r>
    </w:p>
    <w:p w:rsidR="00246C4C" w:rsidRPr="00246C4C" w:rsidRDefault="00246C4C" w:rsidP="00246C4C">
      <w:pPr>
        <w:jc w:val="both"/>
        <w:rPr>
          <w:rFonts w:ascii="Calibri" w:hAnsi="Calibri" w:cs="Arial"/>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composition du dossier de souscription qui doit être remis à tout souscripteur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modalités de versement du montant des souscriptions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parts sociales :</w:t>
      </w:r>
    </w:p>
    <w:p w:rsidR="00246C4C" w:rsidRPr="00246C4C" w:rsidRDefault="00246C4C" w:rsidP="0099019C">
      <w:pPr>
        <w:numPr>
          <w:ilvl w:val="0"/>
          <w:numId w:val="28"/>
        </w:numPr>
        <w:ind w:left="708"/>
        <w:jc w:val="both"/>
        <w:rPr>
          <w:rFonts w:ascii="Calibri" w:hAnsi="Calibri" w:cs="Arial"/>
          <w:sz w:val="20"/>
          <w:szCs w:val="20"/>
        </w:rPr>
      </w:pPr>
      <w:r w:rsidRPr="00246C4C">
        <w:rPr>
          <w:rFonts w:ascii="Calibri" w:hAnsi="Calibri" w:cs="Arial"/>
          <w:sz w:val="20"/>
          <w:szCs w:val="20"/>
        </w:rPr>
        <w:t>valeur nominale ;</w:t>
      </w:r>
    </w:p>
    <w:p w:rsidR="00246C4C" w:rsidRPr="00246C4C" w:rsidRDefault="00246C4C" w:rsidP="0099019C">
      <w:pPr>
        <w:numPr>
          <w:ilvl w:val="0"/>
          <w:numId w:val="28"/>
        </w:numPr>
        <w:ind w:left="708"/>
        <w:jc w:val="both"/>
        <w:rPr>
          <w:rFonts w:ascii="Calibri" w:hAnsi="Calibri" w:cs="Arial"/>
          <w:sz w:val="20"/>
          <w:szCs w:val="20"/>
        </w:rPr>
      </w:pPr>
      <w:r w:rsidRPr="00246C4C">
        <w:rPr>
          <w:rFonts w:ascii="Calibri" w:hAnsi="Calibri" w:cs="Arial"/>
          <w:sz w:val="20"/>
          <w:szCs w:val="20"/>
        </w:rPr>
        <w:t>forme des parts.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nombre minimum de parts à souscrire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lieux de souscription et de versement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jouissance des parts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détail des conditions de la première souscription ouverte au public (mention de la garantie bancaire et de ses conditions de mise en jeu)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une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la SEF</w:t>
      </w:r>
      <w:r w:rsidR="0099019C">
        <w:rPr>
          <w:rFonts w:ascii="Calibri" w:hAnsi="Calibri" w:cs="Arial"/>
          <w:sz w:val="20"/>
          <w:szCs w:val="20"/>
        </w:rPr>
        <w:t>.</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II - Modalités de sortie</w:t>
      </w:r>
    </w:p>
    <w:p w:rsidR="00246C4C" w:rsidRPr="00246C4C" w:rsidRDefault="00246C4C" w:rsidP="00246C4C">
      <w:pPr>
        <w:jc w:val="both"/>
        <w:rPr>
          <w:rFonts w:ascii="Calibri" w:hAnsi="Calibri" w:cs="Arial"/>
          <w:b/>
          <w:bCs/>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Dispositions générales aux cessions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registre des transferts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pièces à envoyer à la société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date à partir de laquelle les parts cédées ou retirées cessent de participer aux distributions de revenus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indication que la société ne garantit pas la revente des parts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droit d'enregistrement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délai de versement des fonds.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Registre des ordres de vente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périodicité des prix d’exécution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mode de transmission des ordres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couverture des ordres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blocage du marché des parts.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Retrait des associés :</w:t>
      </w:r>
    </w:p>
    <w:p w:rsidR="00246C4C" w:rsidRPr="00246C4C" w:rsidRDefault="00246C4C" w:rsidP="0099019C">
      <w:pPr>
        <w:numPr>
          <w:ilvl w:val="0"/>
          <w:numId w:val="33"/>
        </w:numPr>
        <w:jc w:val="both"/>
        <w:rPr>
          <w:rFonts w:ascii="Calibri" w:hAnsi="Calibri" w:cs="Arial"/>
          <w:sz w:val="20"/>
          <w:szCs w:val="20"/>
        </w:rPr>
      </w:pPr>
      <w:r w:rsidRPr="00246C4C">
        <w:rPr>
          <w:rFonts w:ascii="Calibri" w:hAnsi="Calibri" w:cs="Arial"/>
          <w:sz w:val="20"/>
          <w:szCs w:val="20"/>
        </w:rPr>
        <w:t>description de la gestion du risque de liquidité de la SEF, y compris les droits au remboursement dans des circonstances à la fois normales et exceptionnelles, et les modalités existantes de remboursement avec les investisseurs et effets du retrait ;</w:t>
      </w:r>
    </w:p>
    <w:p w:rsidR="00246C4C" w:rsidRPr="00246C4C" w:rsidRDefault="00246C4C" w:rsidP="0099019C">
      <w:pPr>
        <w:numPr>
          <w:ilvl w:val="0"/>
          <w:numId w:val="33"/>
        </w:numPr>
        <w:jc w:val="both"/>
        <w:rPr>
          <w:rFonts w:ascii="Calibri" w:hAnsi="Calibri" w:cs="Arial"/>
          <w:sz w:val="20"/>
          <w:szCs w:val="20"/>
        </w:rPr>
      </w:pPr>
      <w:r w:rsidRPr="00246C4C">
        <w:rPr>
          <w:rFonts w:ascii="Calibri" w:hAnsi="Calibri" w:cs="Arial"/>
          <w:sz w:val="20"/>
          <w:szCs w:val="20"/>
        </w:rPr>
        <w:t>prix ;</w:t>
      </w:r>
    </w:p>
    <w:p w:rsidR="00246C4C" w:rsidRPr="00246C4C" w:rsidRDefault="0099019C"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B</w:t>
      </w:r>
      <w:r w:rsidR="00246C4C" w:rsidRPr="00246C4C">
        <w:rPr>
          <w:rFonts w:ascii="Calibri" w:hAnsi="Calibri" w:cs="Arial"/>
          <w:sz w:val="20"/>
          <w:szCs w:val="20"/>
        </w:rPr>
        <w:t>locage des retraits.</w:t>
      </w:r>
    </w:p>
    <w:p w:rsidR="0099019C" w:rsidRDefault="0099019C" w:rsidP="00246C4C">
      <w:pPr>
        <w:jc w:val="both"/>
        <w:rPr>
          <w:rFonts w:ascii="Calibri" w:hAnsi="Calibri" w:cs="Arial"/>
          <w:sz w:val="20"/>
          <w:szCs w:val="20"/>
        </w:rPr>
      </w:pPr>
    </w:p>
    <w:p w:rsidR="00B70002" w:rsidRDefault="00B70002" w:rsidP="00246C4C">
      <w:pPr>
        <w:jc w:val="both"/>
        <w:rPr>
          <w:rFonts w:ascii="Calibri" w:hAnsi="Calibri" w:cs="Arial"/>
          <w:sz w:val="20"/>
          <w:szCs w:val="20"/>
        </w:rPr>
      </w:pPr>
    </w:p>
    <w:p w:rsidR="00B70002" w:rsidRDefault="00B70002"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 xml:space="preserve">Chapitre III - Frais </w:t>
      </w:r>
    </w:p>
    <w:p w:rsidR="00246C4C" w:rsidRPr="00246C4C" w:rsidRDefault="00246C4C" w:rsidP="00246C4C">
      <w:pPr>
        <w:jc w:val="both"/>
        <w:rPr>
          <w:rFonts w:ascii="Calibri" w:hAnsi="Calibri" w:cs="Arial"/>
          <w:b/>
          <w:bCs/>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Pour assurer une bonne information du public, il importe que le maximum de frais soient couverts par des commissions forfaitaires.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Les taux, bases de calcul ou montants forfaitaires sont clairement précisés.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La société de gestion est rémunérée par les commissions suivantes, dans les conditions de l’article 422-238 du règlement général de l’AMF :</w:t>
      </w:r>
    </w:p>
    <w:p w:rsidR="00246C4C" w:rsidRPr="00246C4C" w:rsidRDefault="00246C4C" w:rsidP="00246C4C">
      <w:pPr>
        <w:numPr>
          <w:ilvl w:val="0"/>
          <w:numId w:val="20"/>
        </w:numPr>
        <w:jc w:val="both"/>
        <w:rPr>
          <w:rFonts w:ascii="Calibri" w:hAnsi="Calibri" w:cs="Arial"/>
          <w:sz w:val="20"/>
          <w:szCs w:val="20"/>
        </w:rPr>
      </w:pPr>
      <w:r w:rsidRPr="00246C4C">
        <w:rPr>
          <w:rFonts w:ascii="Calibri" w:hAnsi="Calibri" w:cs="Arial"/>
          <w:sz w:val="20"/>
          <w:szCs w:val="20"/>
        </w:rPr>
        <w:t>une commission de souscription ;</w:t>
      </w:r>
    </w:p>
    <w:p w:rsidR="00246C4C" w:rsidRPr="00246C4C" w:rsidRDefault="00246C4C" w:rsidP="00246C4C">
      <w:pPr>
        <w:numPr>
          <w:ilvl w:val="0"/>
          <w:numId w:val="20"/>
        </w:numPr>
        <w:jc w:val="both"/>
        <w:rPr>
          <w:rFonts w:ascii="Calibri" w:hAnsi="Calibri" w:cs="Arial"/>
          <w:sz w:val="20"/>
          <w:szCs w:val="20"/>
        </w:rPr>
      </w:pPr>
      <w:r w:rsidRPr="00246C4C">
        <w:rPr>
          <w:rFonts w:ascii="Calibri" w:hAnsi="Calibri" w:cs="Arial"/>
          <w:sz w:val="20"/>
          <w:szCs w:val="20"/>
        </w:rPr>
        <w:t>une commission de cession ou de retrait ;</w:t>
      </w:r>
    </w:p>
    <w:p w:rsidR="00246C4C" w:rsidRPr="00246C4C" w:rsidRDefault="00246C4C" w:rsidP="00246C4C">
      <w:pPr>
        <w:numPr>
          <w:ilvl w:val="0"/>
          <w:numId w:val="20"/>
        </w:numPr>
        <w:jc w:val="both"/>
        <w:rPr>
          <w:rFonts w:ascii="Calibri" w:hAnsi="Calibri" w:cs="Arial"/>
          <w:sz w:val="20"/>
          <w:szCs w:val="20"/>
        </w:rPr>
      </w:pPr>
      <w:r w:rsidRPr="00246C4C">
        <w:rPr>
          <w:rFonts w:ascii="Calibri" w:hAnsi="Calibri" w:cs="Arial"/>
          <w:sz w:val="20"/>
          <w:szCs w:val="20"/>
        </w:rPr>
        <w:t>une commission de gestion.</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Sont couverts par la commission de gestion les frais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 De gestion administrative et comptable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2° De gestion du registre prévu par l'article L. 214-93 du code monétaire et financier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3° D'établissement des plans simples de gestion relatifs aux biens forestiers détenus en direct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4° D'information des associés : établissement des rapports annuels et bulletins d'information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5° D'organisation des assemblées générales et des réunions du conseil de surveillance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6° D'organisation et de suivi de la gestion des bois et forêts détenus en direct, terrains nus, accessoires et dépendances (aménagement, entretien, amélioration)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7° De négociation et de suivi des opérations d'échange, aliénations et constitutions de droits réels prévues par l'article R. 214-164 du code monétaire et financier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8° D'organisation et de suivi des opérations de coupes de bois détenus en direct (marquage, coupe)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9° Afférents à la vente des bois coupés (facturation, vente)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10° D'organisation et de gestion des modes d'exploitation accessoires du domaine forestier, et notamment des locations de chasses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11° De suivi et de représentation aux assemblées générales des groupements forestiers et sociétés dont l'objet exclusif est la détention de bois et forêts dans lesquels les SEF gérées détiennent des parts d'intérêts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12° De gestion des liquidités et valeurs assimilées.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S’agissant de la commission de gestion, le taux maximum est indiqué ainsi que sa composition par catégorie d’actifs (biens forestiers détenus directement ou indirectement ou liquidités et valeurs assimilées), de même que les modalités de calcul (bases, taux, coût moyen) des montants qui seront effectivement dus à la société de gestion pour chaque type de prestation réalisée sur les biens forestiers détenus en direct. Une liste exhaustive des prestations couvertes par cette commission est prévue.</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Sont exclus de la commission de gestion les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1° Frais d'assurance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2° Honoraires des experts forestiers dans le cadre des missions d'expertises forestières prévues p</w:t>
      </w:r>
      <w:r w:rsidR="003745CD">
        <w:rPr>
          <w:rFonts w:ascii="Calibri" w:hAnsi="Calibri" w:cs="Arial"/>
          <w:sz w:val="20"/>
          <w:szCs w:val="20"/>
        </w:rPr>
        <w:t xml:space="preserve">ar les articles </w:t>
      </w:r>
      <w:r w:rsidRPr="00246C4C">
        <w:rPr>
          <w:rFonts w:ascii="Calibri" w:hAnsi="Calibri" w:cs="Arial"/>
          <w:sz w:val="20"/>
          <w:szCs w:val="20"/>
        </w:rPr>
        <w:t>422-246 et suivants et des contrôleurs légaux des comptes ;</w:t>
      </w: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3° Coûts d'exploitation des bois et forêts, et notamment des travaux de reconstitution,</w:t>
      </w:r>
      <w:r w:rsidR="003745CD">
        <w:rPr>
          <w:rFonts w:ascii="Calibri" w:hAnsi="Calibri" w:cs="Arial"/>
          <w:sz w:val="20"/>
          <w:szCs w:val="20"/>
        </w:rPr>
        <w:t xml:space="preserve"> </w:t>
      </w:r>
      <w:r w:rsidRPr="00246C4C">
        <w:rPr>
          <w:rFonts w:ascii="Calibri" w:hAnsi="Calibri" w:cs="Arial"/>
          <w:sz w:val="20"/>
          <w:szCs w:val="20"/>
        </w:rPr>
        <w:t>d'entretien des forêts et infrastructures et de coupes des bois.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r w:rsidRPr="00246C4C">
        <w:rPr>
          <w:rFonts w:ascii="Calibri" w:hAnsi="Calibri" w:cs="Arial"/>
          <w:sz w:val="20"/>
          <w:szCs w:val="20"/>
        </w:rPr>
        <w:t>Toute autre rémunération ne peut être qu'exceptionnelle et doit être soumise à la ratification de l'assemblée générale ordinaire.</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IV - Fonctionnement de la société</w:t>
      </w:r>
    </w:p>
    <w:p w:rsidR="00246C4C" w:rsidRPr="00246C4C" w:rsidRDefault="00246C4C" w:rsidP="00246C4C">
      <w:pPr>
        <w:jc w:val="both"/>
        <w:rPr>
          <w:rFonts w:ascii="Calibri" w:hAnsi="Calibri" w:cs="Arial"/>
          <w:b/>
          <w:bCs/>
          <w:sz w:val="20"/>
          <w:szCs w:val="20"/>
        </w:rPr>
      </w:pP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régime des assemblées générales des associés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dispositions statutaires concernant la répartition des bénéfices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conventions particulières, engagement de faire expertiser préalablement à l'achat tout bien forestier dont le vendeur est lié directement ou indirectement à la gérance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régime fiscal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 xml:space="preserve">économie d’impôts et engagements afférents ;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revenus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plus-values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mutations à titre gratuit.</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modalités d’information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le rapport annuel ;</w:t>
      </w:r>
    </w:p>
    <w:p w:rsidR="00246C4C" w:rsidRPr="00246C4C" w:rsidRDefault="00246C4C" w:rsidP="0099019C">
      <w:pPr>
        <w:numPr>
          <w:ilvl w:val="0"/>
          <w:numId w:val="28"/>
        </w:numPr>
        <w:ind w:left="851" w:hanging="143"/>
        <w:jc w:val="both"/>
        <w:rPr>
          <w:rFonts w:ascii="Calibri" w:hAnsi="Calibri" w:cs="Arial"/>
          <w:sz w:val="20"/>
          <w:szCs w:val="20"/>
        </w:rPr>
      </w:pPr>
      <w:r w:rsidRPr="00246C4C">
        <w:rPr>
          <w:rFonts w:ascii="Calibri" w:hAnsi="Calibri" w:cs="Arial"/>
          <w:sz w:val="20"/>
          <w:szCs w:val="20"/>
        </w:rPr>
        <w:t>le bulletin d’information ;</w:t>
      </w:r>
    </w:p>
    <w:p w:rsidR="00246C4C" w:rsidRPr="0099019C" w:rsidRDefault="00246C4C" w:rsidP="00246C4C">
      <w:pPr>
        <w:numPr>
          <w:ilvl w:val="0"/>
          <w:numId w:val="28"/>
        </w:numPr>
        <w:ind w:left="851" w:hanging="143"/>
        <w:jc w:val="both"/>
        <w:rPr>
          <w:rFonts w:ascii="Calibri" w:hAnsi="Calibri" w:cs="Arial"/>
          <w:sz w:val="20"/>
          <w:szCs w:val="20"/>
        </w:rPr>
      </w:pPr>
      <w:r w:rsidRPr="00246C4C">
        <w:rPr>
          <w:rFonts w:ascii="Calibri" w:hAnsi="Calibri" w:cs="Arial"/>
          <w:sz w:val="20"/>
          <w:szCs w:val="20"/>
        </w:rPr>
        <w:t>les modalités et échéances de communication des informations exigées au titre des IV et V de l’article 421-34 du règlement général de l’AMF (ou de son équivalent, transposant les paragraphes 4 et 5 de l’article 23 de la directive AIFM, dans le droit applicable à la société de gestion)</w:t>
      </w:r>
      <w:r w:rsidR="0099019C">
        <w:rPr>
          <w:rFonts w:ascii="Calibri" w:hAnsi="Calibri" w:cs="Arial"/>
          <w:sz w:val="20"/>
          <w:szCs w:val="20"/>
        </w:rPr>
        <w:t>.</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Chapitre V - Administration, contrôle, information de la société, acteurs</w:t>
      </w:r>
    </w:p>
    <w:p w:rsidR="00246C4C" w:rsidRPr="00246C4C" w:rsidRDefault="00246C4C" w:rsidP="00246C4C">
      <w:pPr>
        <w:jc w:val="both"/>
        <w:rPr>
          <w:rFonts w:ascii="Calibri" w:hAnsi="Calibri" w:cs="Arial"/>
          <w:b/>
          <w:bCs/>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1) La société</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dénomination sociale, nationalité, siège social, forme juridique, lieu de dépôt des statuts, n° du registre du commerce et des sociétés, durée de la société, objet social, exercice social, capital initial, capital statutaire, capital effectif.</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2) Conseil de surveillance</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attributions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nombre de membres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durée de leur mandat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composition du conseil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renouvellement, candidatures, désignation par mandat impératif des associés.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3) Autres acteurs</w:t>
      </w: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 xml:space="preserve"> Administration : société de gestion nommée</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 xml:space="preserve">dénomination, siège social, nationalité, forme juridique, numéro du registre du commerce et des sociétés ;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objet social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montant et répartition du capital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conseil d'administration, direction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numéro de l'agrément délivré par l’AMF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description des obligations de la société de gestion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 xml:space="preserve">lorsque la SEF est gérée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w:t>
      </w:r>
      <w:proofErr w:type="spellStart"/>
      <w:r w:rsidRPr="00246C4C">
        <w:rPr>
          <w:rFonts w:ascii="Calibri" w:hAnsi="Calibri" w:cs="Arial"/>
          <w:sz w:val="20"/>
          <w:szCs w:val="20"/>
        </w:rPr>
        <w:t>gestionde</w:t>
      </w:r>
      <w:proofErr w:type="spellEnd"/>
      <w:r w:rsidRPr="00246C4C">
        <w:rPr>
          <w:rFonts w:ascii="Calibri" w:hAnsi="Calibri" w:cs="Arial"/>
          <w:sz w:val="20"/>
          <w:szCs w:val="20"/>
        </w:rPr>
        <w:t xml:space="preserve"> la SEF;</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description de toute fonction de gestion déléguée par la société de gestion, l’identification du délégataire et tout conflit d’intérêts susceptible de découler de ces délégations.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sz w:val="20"/>
          <w:szCs w:val="20"/>
        </w:rPr>
      </w:pPr>
      <w:r w:rsidRPr="00246C4C">
        <w:rPr>
          <w:rFonts w:ascii="Calibri" w:hAnsi="Calibri" w:cs="Arial"/>
          <w:b/>
          <w:sz w:val="20"/>
          <w:szCs w:val="20"/>
        </w:rPr>
        <w:t xml:space="preserve">Identification du dépositaire et de ses obligations </w:t>
      </w:r>
    </w:p>
    <w:p w:rsidR="00246C4C" w:rsidRPr="00246C4C" w:rsidRDefault="00742C7D"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i</w:t>
      </w:r>
      <w:r w:rsidR="00246C4C" w:rsidRPr="00246C4C">
        <w:rPr>
          <w:rFonts w:ascii="Calibri" w:hAnsi="Calibri" w:cs="Arial"/>
          <w:sz w:val="20"/>
          <w:szCs w:val="20"/>
        </w:rPr>
        <w:t>dentification du dépositaire ;</w:t>
      </w:r>
    </w:p>
    <w:p w:rsidR="00246C4C" w:rsidRPr="00246C4C" w:rsidRDefault="00742C7D" w:rsidP="0099019C">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d</w:t>
      </w:r>
      <w:r w:rsidR="00246C4C" w:rsidRPr="00246C4C">
        <w:rPr>
          <w:rFonts w:ascii="Calibri" w:hAnsi="Calibri" w:cs="Arial"/>
          <w:sz w:val="20"/>
          <w:szCs w:val="20"/>
        </w:rPr>
        <w:t>escription de toute fonction de garde déléguée par le dépositaire, l’identification du délégataire et tout conflit d’intérêts susceptible de découler de ces délégations.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Commissaires aux comptes</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 prénom, adresse, qualité du ou des commissaires aux comptes ;</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99019C">
        <w:rPr>
          <w:rFonts w:ascii="Calibri" w:hAnsi="Calibri" w:cs="Arial"/>
          <w:sz w:val="20"/>
          <w:szCs w:val="20"/>
        </w:rPr>
        <w:t>date et durée de la nomination.</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b/>
          <w:bCs/>
          <w:sz w:val="20"/>
          <w:szCs w:val="20"/>
        </w:rPr>
      </w:pPr>
      <w:r w:rsidRPr="00246C4C">
        <w:rPr>
          <w:rFonts w:ascii="Calibri" w:hAnsi="Calibri" w:cs="Arial"/>
          <w:b/>
          <w:bCs/>
          <w:sz w:val="20"/>
          <w:szCs w:val="20"/>
        </w:rPr>
        <w:t>Expert forestier</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99019C">
        <w:rPr>
          <w:rFonts w:ascii="Calibri" w:hAnsi="Calibri" w:cs="Arial"/>
          <w:sz w:val="20"/>
          <w:szCs w:val="20"/>
        </w:rPr>
        <w:t>Nom, prénom, adresse,</w:t>
      </w:r>
      <w:r w:rsidRPr="00246C4C">
        <w:rPr>
          <w:rFonts w:ascii="Calibri" w:hAnsi="Calibri" w:cs="Arial"/>
          <w:sz w:val="20"/>
          <w:szCs w:val="20"/>
        </w:rPr>
        <w:t xml:space="preserve"> rappel des obligations réglementaires ;</w:t>
      </w:r>
    </w:p>
    <w:p w:rsidR="00246C4C" w:rsidRPr="0099019C" w:rsidRDefault="00246C4C" w:rsidP="00246C4C">
      <w:pPr>
        <w:numPr>
          <w:ilvl w:val="0"/>
          <w:numId w:val="20"/>
        </w:numPr>
        <w:tabs>
          <w:tab w:val="clear" w:pos="750"/>
          <w:tab w:val="num" w:pos="709"/>
        </w:tabs>
        <w:ind w:left="709" w:hanging="349"/>
        <w:jc w:val="both"/>
        <w:rPr>
          <w:rFonts w:ascii="Calibri" w:hAnsi="Calibri" w:cs="Arial"/>
          <w:sz w:val="20"/>
          <w:szCs w:val="20"/>
        </w:rPr>
      </w:pPr>
      <w:r w:rsidRPr="0099019C">
        <w:rPr>
          <w:rFonts w:ascii="Calibri" w:hAnsi="Calibri" w:cs="Arial"/>
          <w:sz w:val="20"/>
          <w:szCs w:val="20"/>
        </w:rPr>
        <w:t>date et durée de la nomination</w:t>
      </w:r>
      <w:r w:rsidR="0099019C">
        <w:rPr>
          <w:rFonts w:ascii="Calibri" w:hAnsi="Calibri" w:cs="Arial"/>
          <w:sz w:val="20"/>
          <w:szCs w:val="20"/>
        </w:rPr>
        <w:t>.</w:t>
      </w:r>
    </w:p>
    <w:p w:rsidR="00246C4C" w:rsidRPr="00246C4C" w:rsidRDefault="00246C4C" w:rsidP="00246C4C">
      <w:pPr>
        <w:jc w:val="both"/>
        <w:rPr>
          <w:rFonts w:ascii="Calibri" w:hAnsi="Calibri" w:cs="Arial"/>
          <w:bCs/>
          <w:sz w:val="20"/>
          <w:szCs w:val="20"/>
        </w:rPr>
      </w:pPr>
    </w:p>
    <w:p w:rsidR="00246C4C" w:rsidRPr="0099019C" w:rsidRDefault="00246C4C" w:rsidP="00246C4C">
      <w:pPr>
        <w:jc w:val="both"/>
        <w:rPr>
          <w:rFonts w:ascii="Calibri" w:hAnsi="Calibri" w:cs="Arial"/>
          <w:b/>
          <w:bCs/>
          <w:sz w:val="20"/>
          <w:szCs w:val="20"/>
        </w:rPr>
      </w:pPr>
      <w:r w:rsidRPr="00246C4C">
        <w:rPr>
          <w:rFonts w:ascii="Calibri" w:hAnsi="Calibri" w:cs="Arial"/>
          <w:b/>
          <w:sz w:val="20"/>
          <w:szCs w:val="20"/>
        </w:rPr>
        <w:t>Description de tout autre prestataire de services</w:t>
      </w:r>
    </w:p>
    <w:p w:rsidR="00246C4C" w:rsidRPr="00246C4C" w:rsidRDefault="00246C4C" w:rsidP="00246C4C">
      <w:pPr>
        <w:jc w:val="both"/>
        <w:rPr>
          <w:rFonts w:ascii="Calibri" w:hAnsi="Calibri" w:cs="Arial"/>
          <w:sz w:val="20"/>
          <w:szCs w:val="20"/>
        </w:rPr>
      </w:pPr>
    </w:p>
    <w:p w:rsidR="00246C4C" w:rsidRPr="00246C4C" w:rsidRDefault="00F36344" w:rsidP="00246C4C">
      <w:pPr>
        <w:jc w:val="both"/>
        <w:rPr>
          <w:rFonts w:ascii="Calibri" w:hAnsi="Calibri" w:cs="Arial"/>
          <w:b/>
          <w:bCs/>
          <w:sz w:val="20"/>
          <w:szCs w:val="20"/>
        </w:rPr>
      </w:pPr>
      <w:r>
        <w:rPr>
          <w:rFonts w:ascii="Calibri" w:hAnsi="Calibri" w:cs="Arial"/>
          <w:b/>
          <w:bCs/>
          <w:sz w:val="20"/>
          <w:szCs w:val="20"/>
        </w:rPr>
        <w:t xml:space="preserve">4) </w:t>
      </w:r>
      <w:r w:rsidR="00246C4C" w:rsidRPr="00246C4C">
        <w:rPr>
          <w:rFonts w:ascii="Calibri" w:hAnsi="Calibri" w:cs="Arial"/>
          <w:b/>
          <w:bCs/>
          <w:sz w:val="20"/>
          <w:szCs w:val="20"/>
        </w:rPr>
        <w:t>Information</w:t>
      </w:r>
    </w:p>
    <w:p w:rsidR="00246C4C" w:rsidRPr="00246C4C" w:rsidRDefault="00246C4C" w:rsidP="0099019C">
      <w:pPr>
        <w:numPr>
          <w:ilvl w:val="0"/>
          <w:numId w:val="20"/>
        </w:numPr>
        <w:tabs>
          <w:tab w:val="clear" w:pos="750"/>
          <w:tab w:val="num" w:pos="709"/>
        </w:tabs>
        <w:ind w:left="709" w:hanging="349"/>
        <w:jc w:val="both"/>
        <w:rPr>
          <w:rFonts w:ascii="Calibri" w:hAnsi="Calibri" w:cs="Arial"/>
          <w:sz w:val="20"/>
          <w:szCs w:val="20"/>
        </w:rPr>
      </w:pPr>
      <w:r w:rsidRPr="00246C4C">
        <w:rPr>
          <w:rFonts w:ascii="Calibri" w:hAnsi="Calibri" w:cs="Arial"/>
          <w:sz w:val="20"/>
          <w:szCs w:val="20"/>
        </w:rPr>
        <w:t>nom, adresse et numéro de téléphone de la personne responsable de l'information relative à la SEF.</w:t>
      </w:r>
    </w:p>
    <w:p w:rsidR="00246C4C" w:rsidRPr="00246C4C" w:rsidRDefault="00246C4C" w:rsidP="00246C4C">
      <w:pPr>
        <w:jc w:val="both"/>
        <w:rPr>
          <w:rFonts w:ascii="Calibri" w:hAnsi="Calibri" w:cs="Arial"/>
          <w:sz w:val="20"/>
          <w:szCs w:val="20"/>
        </w:rPr>
      </w:pPr>
    </w:p>
    <w:p w:rsidR="00246C4C" w:rsidRPr="00246C4C" w:rsidRDefault="00246C4C" w:rsidP="007C3919">
      <w:pPr>
        <w:jc w:val="center"/>
        <w:rPr>
          <w:rFonts w:ascii="Calibri" w:hAnsi="Calibri" w:cs="Arial"/>
          <w:sz w:val="20"/>
          <w:szCs w:val="20"/>
        </w:rPr>
      </w:pPr>
      <w:r w:rsidRPr="00246C4C">
        <w:rPr>
          <w:rFonts w:ascii="Calibri" w:hAnsi="Calibri" w:cs="Arial"/>
          <w:sz w:val="20"/>
          <w:szCs w:val="20"/>
        </w:rPr>
        <w:t>*  *  *</w:t>
      </w:r>
    </w:p>
    <w:p w:rsidR="00246C4C" w:rsidRPr="00246C4C" w:rsidRDefault="00246C4C" w:rsidP="00246C4C">
      <w:pPr>
        <w:jc w:val="both"/>
        <w:rPr>
          <w:rFonts w:ascii="Calibri" w:hAnsi="Calibri" w:cs="Arial"/>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center"/>
        <w:rPr>
          <w:rFonts w:ascii="Calibri" w:hAnsi="Calibri" w:cs="Arial"/>
          <w:b/>
          <w:sz w:val="20"/>
          <w:szCs w:val="20"/>
        </w:rPr>
      </w:pPr>
      <w:r w:rsidRPr="00246C4C">
        <w:rPr>
          <w:rFonts w:ascii="Calibri" w:hAnsi="Calibri" w:cs="Arial"/>
          <w:b/>
          <w:sz w:val="20"/>
          <w:szCs w:val="20"/>
        </w:rPr>
        <w:t>VISA DE L’AUTORITE DES MARCHES FINANCIERS</w:t>
      </w: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246C4C">
        <w:rPr>
          <w:rFonts w:ascii="Calibri" w:hAnsi="Calibri" w:cs="Arial"/>
          <w:b/>
          <w:sz w:val="20"/>
          <w:szCs w:val="20"/>
        </w:rPr>
        <w:t xml:space="preserve">Par application des articles L. 411-1, L. 411-2, L. 412-1 et L. 621-8 du code monétaire et financier, l’Autorité des marchés financiers a apposé sur la présente note d’information </w:t>
      </w:r>
      <w:r w:rsidR="007C3919">
        <w:rPr>
          <w:rFonts w:ascii="Calibri" w:hAnsi="Calibri" w:cs="Arial"/>
          <w:b/>
          <w:sz w:val="20"/>
          <w:szCs w:val="20"/>
        </w:rPr>
        <w:t>le visa n°... en date du .</w:t>
      </w:r>
      <w:r w:rsidRPr="00246C4C">
        <w:rPr>
          <w:rFonts w:ascii="Calibri" w:hAnsi="Calibri" w:cs="Arial"/>
          <w:b/>
          <w:sz w:val="20"/>
          <w:szCs w:val="20"/>
        </w:rPr>
        <w:t>.. .</w:t>
      </w: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246C4C" w:rsidRPr="00246C4C" w:rsidRDefault="00246C4C" w:rsidP="00BD0335">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246C4C">
        <w:rPr>
          <w:rFonts w:ascii="Calibri" w:hAnsi="Calibri" w:cs="Arial"/>
          <w:b/>
          <w:sz w:val="20"/>
          <w:szCs w:val="20"/>
        </w:rPr>
        <w:t>Cette note d’information a été établie par l’émetteur et engage la responsabilité de ses signataires. Le visa n’implique ni approbation de l’opportunité de l’opération, ni authentification des éléments comptables et financiers présentés. Il a été attribué après examen de la pertinence et de la cohérence de l’information donnée dans la perspective de l’opération proposée aux investisseurs.</w:t>
      </w: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p>
    <w:p w:rsidR="00246C4C" w:rsidRPr="00246C4C" w:rsidRDefault="00246C4C" w:rsidP="00246C4C">
      <w:pPr>
        <w:jc w:val="both"/>
        <w:rPr>
          <w:rFonts w:ascii="Calibri" w:hAnsi="Calibri" w:cs="Arial"/>
          <w:sz w:val="20"/>
          <w:szCs w:val="20"/>
        </w:rPr>
      </w:pPr>
    </w:p>
    <w:p w:rsidR="00330C47" w:rsidRPr="000C5F07" w:rsidRDefault="00330C47" w:rsidP="00321180">
      <w:pPr>
        <w:jc w:val="both"/>
        <w:rPr>
          <w:rFonts w:ascii="Calibri" w:hAnsi="Calibri" w:cs="Arial"/>
          <w:sz w:val="20"/>
          <w:szCs w:val="20"/>
        </w:rPr>
      </w:pPr>
    </w:p>
    <w:sectPr w:rsidR="00330C47" w:rsidRPr="000C5F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A" w:rsidRDefault="00AE5A5A">
      <w:r>
        <w:separator/>
      </w:r>
    </w:p>
    <w:p w:rsidR="00AE5A5A" w:rsidRDefault="00AE5A5A"/>
  </w:endnote>
  <w:endnote w:type="continuationSeparator" w:id="0">
    <w:p w:rsidR="00AE5A5A" w:rsidRDefault="00AE5A5A">
      <w:r>
        <w:continuationSeparator/>
      </w:r>
    </w:p>
    <w:p w:rsidR="00AE5A5A" w:rsidRDefault="00A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15AB5">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15AB5">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615AB5">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615AB5">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A" w:rsidRDefault="00AE5A5A">
      <w:r>
        <w:separator/>
      </w:r>
    </w:p>
    <w:p w:rsidR="00AE5A5A" w:rsidRDefault="00AE5A5A"/>
  </w:footnote>
  <w:footnote w:type="continuationSeparator" w:id="0">
    <w:p w:rsidR="00AE5A5A" w:rsidRDefault="00AE5A5A">
      <w:r>
        <w:continuationSeparator/>
      </w:r>
    </w:p>
    <w:p w:rsidR="00AE5A5A" w:rsidRDefault="00AE5A5A"/>
  </w:footnote>
  <w:footnote w:id="1">
    <w:p w:rsidR="00246C4C" w:rsidRPr="00A04FCD" w:rsidRDefault="00246C4C" w:rsidP="0099019C">
      <w:pPr>
        <w:pStyle w:val="AMFNotedebasdepage"/>
        <w:rPr>
          <w:i w:val="0"/>
        </w:rPr>
      </w:pPr>
      <w:r w:rsidRPr="00A04FCD">
        <w:rPr>
          <w:rStyle w:val="Appelnotedebasdep"/>
          <w:i w:val="0"/>
        </w:rPr>
        <w:footnoteRef/>
      </w:r>
      <w:r w:rsidRPr="00A04FCD">
        <w:rPr>
          <w:i w:val="0"/>
        </w:rPr>
        <w:t xml:space="preserve"> Dans les conditions de l’article 422-239 du règlement général de l’AMF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pPr>
      <w:pStyle w:val="En-tte"/>
    </w:pPr>
    <w:r w:rsidRPr="00E1138C">
      <w:rPr>
        <w:noProof/>
      </w:rPr>
      <w:drawing>
        <wp:anchor distT="0" distB="0" distL="114300" distR="114300" simplePos="0" relativeHeight="251664896" behindDoc="1" locked="0" layoutInCell="1" allowOverlap="1" wp14:anchorId="31872A78" wp14:editId="29750C45">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7D3B0A" w:rsidRDefault="00621924" w:rsidP="00D852FF">
    <w:pPr>
      <w:pStyle w:val="AMFDoctrineEntete2"/>
      <w:pBdr>
        <w:bottom w:val="single" w:sz="4" w:space="1" w:color="auto"/>
      </w:pBdr>
    </w:pPr>
    <w:r>
      <w:t>Annexe Ibis de l’</w:t>
    </w:r>
    <w:r w:rsidR="003A3F07">
      <w:t>Instruction DOC-2019-</w:t>
    </w:r>
    <w:r>
      <w:t>04</w:t>
    </w:r>
    <w:r w:rsidR="003A3F07">
      <w:t xml:space="preserve"> </w:t>
    </w:r>
    <w:r w:rsidR="00F65D9C">
      <w:t xml:space="preserve"> – </w:t>
    </w:r>
    <w:r w:rsidRPr="00621924">
      <w:t>Sociétés civiles de placement immobilier, sociétés d’épargne forestière et groupements forestiers d’investissement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 o:bullet="t">
        <v:imagedata r:id="rId1" o:title="Flêche_AMF_blc"/>
      </v:shape>
    </w:pict>
  </w:numPicBullet>
  <w:abstractNum w:abstractNumId="0">
    <w:nsid w:val="FFFFFFFE"/>
    <w:multiLevelType w:val="singleLevel"/>
    <w:tmpl w:val="82A8C6D0"/>
    <w:lvl w:ilvl="0">
      <w:numFmt w:val="bullet"/>
      <w:lvlText w:val="*"/>
      <w:lvlJc w:val="left"/>
    </w:lvl>
  </w:abstractNum>
  <w:abstractNum w:abstractNumId="1">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2BB5347"/>
    <w:multiLevelType w:val="hybridMultilevel"/>
    <w:tmpl w:val="4446C8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1">
    <w:nsid w:val="2B8E2DD7"/>
    <w:multiLevelType w:val="hybridMultilevel"/>
    <w:tmpl w:val="AD2CFA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5">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1E1F9B"/>
    <w:multiLevelType w:val="hybridMultilevel"/>
    <w:tmpl w:val="8578B5F6"/>
    <w:lvl w:ilvl="0" w:tplc="850CAC96">
      <w:start w:val="422"/>
      <w:numFmt w:val="bullet"/>
      <w:lvlText w:val="-"/>
      <w:lvlJc w:val="left"/>
      <w:pPr>
        <w:ind w:left="940" w:hanging="360"/>
      </w:pPr>
      <w:rPr>
        <w:rFonts w:ascii="Arial" w:eastAsia="Calibri" w:hAnsi="Arial" w:cs="Aria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17">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1">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29D50BD"/>
    <w:multiLevelType w:val="hybridMultilevel"/>
    <w:tmpl w:val="348A0774"/>
    <w:lvl w:ilvl="0" w:tplc="E144AC06">
      <w:start w:val="4"/>
      <w:numFmt w:val="bullet"/>
      <w:lvlText w:val="-"/>
      <w:lvlJc w:val="left"/>
      <w:pPr>
        <w:tabs>
          <w:tab w:val="num" w:pos="580"/>
        </w:tabs>
        <w:ind w:left="580" w:hanging="360"/>
      </w:pPr>
      <w:rPr>
        <w:rFonts w:ascii="Arial" w:eastAsia="Times New Roman" w:hAnsi="Arial" w:cs="Arial" w:hint="default"/>
      </w:rPr>
    </w:lvl>
    <w:lvl w:ilvl="1" w:tplc="040C0003" w:tentative="1">
      <w:start w:val="1"/>
      <w:numFmt w:val="bullet"/>
      <w:lvlText w:val="o"/>
      <w:lvlJc w:val="left"/>
      <w:pPr>
        <w:tabs>
          <w:tab w:val="num" w:pos="1300"/>
        </w:tabs>
        <w:ind w:left="1300" w:hanging="360"/>
      </w:pPr>
      <w:rPr>
        <w:rFonts w:ascii="Courier New" w:hAnsi="Courier New" w:cs="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cs="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cs="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26">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3"/>
  </w:num>
  <w:num w:numId="2">
    <w:abstractNumId w:val="1"/>
  </w:num>
  <w:num w:numId="3">
    <w:abstractNumId w:val="18"/>
  </w:num>
  <w:num w:numId="4">
    <w:abstractNumId w:val="30"/>
  </w:num>
  <w:num w:numId="5">
    <w:abstractNumId w:val="2"/>
  </w:num>
  <w:num w:numId="6">
    <w:abstractNumId w:val="19"/>
  </w:num>
  <w:num w:numId="7">
    <w:abstractNumId w:val="17"/>
  </w:num>
  <w:num w:numId="8">
    <w:abstractNumId w:val="8"/>
  </w:num>
  <w:num w:numId="9">
    <w:abstractNumId w:val="27"/>
  </w:num>
  <w:num w:numId="10">
    <w:abstractNumId w:val="5"/>
  </w:num>
  <w:num w:numId="11">
    <w:abstractNumId w:val="12"/>
  </w:num>
  <w:num w:numId="12">
    <w:abstractNumId w:val="29"/>
  </w:num>
  <w:num w:numId="13">
    <w:abstractNumId w:val="28"/>
  </w:num>
  <w:num w:numId="14">
    <w:abstractNumId w:val="13"/>
  </w:num>
  <w:num w:numId="15">
    <w:abstractNumId w:val="26"/>
  </w:num>
  <w:num w:numId="16">
    <w:abstractNumId w:val="14"/>
  </w:num>
  <w:num w:numId="17">
    <w:abstractNumId w:val="24"/>
  </w:num>
  <w:num w:numId="18">
    <w:abstractNumId w:val="22"/>
  </w:num>
  <w:num w:numId="19">
    <w:abstractNumId w:val="6"/>
  </w:num>
  <w:num w:numId="20">
    <w:abstractNumId w:val="21"/>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7"/>
  </w:num>
  <w:num w:numId="23">
    <w:abstractNumId w:val="10"/>
  </w:num>
  <w:num w:numId="24">
    <w:abstractNumId w:val="23"/>
  </w:num>
  <w:num w:numId="25">
    <w:abstractNumId w:val="9"/>
  </w:num>
  <w:num w:numId="26">
    <w:abstractNumId w:val="20"/>
  </w:num>
  <w:num w:numId="27">
    <w:abstractNumId w:val="15"/>
  </w:num>
  <w:num w:numId="28">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29">
    <w:abstractNumId w:val="25"/>
  </w:num>
  <w:num w:numId="30">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31">
    <w:abstractNumId w:val="16"/>
  </w:num>
  <w:num w:numId="32">
    <w:abstractNumId w:val="4"/>
  </w:num>
  <w:num w:numId="3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A4190"/>
    <w:rsid w:val="000A6F64"/>
    <w:rsid w:val="000B0E47"/>
    <w:rsid w:val="000B7F59"/>
    <w:rsid w:val="00121936"/>
    <w:rsid w:val="0013025C"/>
    <w:rsid w:val="00130E0A"/>
    <w:rsid w:val="0013291C"/>
    <w:rsid w:val="00142286"/>
    <w:rsid w:val="00147602"/>
    <w:rsid w:val="00171AB0"/>
    <w:rsid w:val="00187196"/>
    <w:rsid w:val="001C7443"/>
    <w:rsid w:val="001E3C31"/>
    <w:rsid w:val="001E4F6A"/>
    <w:rsid w:val="001F2A58"/>
    <w:rsid w:val="001F31C6"/>
    <w:rsid w:val="002169A1"/>
    <w:rsid w:val="00220FEC"/>
    <w:rsid w:val="00221204"/>
    <w:rsid w:val="002303A7"/>
    <w:rsid w:val="00232514"/>
    <w:rsid w:val="00237854"/>
    <w:rsid w:val="002434A6"/>
    <w:rsid w:val="002439C4"/>
    <w:rsid w:val="00246C4C"/>
    <w:rsid w:val="00257FA5"/>
    <w:rsid w:val="002673E1"/>
    <w:rsid w:val="0028179F"/>
    <w:rsid w:val="00283EE8"/>
    <w:rsid w:val="002B722D"/>
    <w:rsid w:val="002C5D9F"/>
    <w:rsid w:val="002E4658"/>
    <w:rsid w:val="002F705A"/>
    <w:rsid w:val="00321180"/>
    <w:rsid w:val="00330C47"/>
    <w:rsid w:val="0033290D"/>
    <w:rsid w:val="00333E95"/>
    <w:rsid w:val="00341A63"/>
    <w:rsid w:val="00365E82"/>
    <w:rsid w:val="00367774"/>
    <w:rsid w:val="003745CD"/>
    <w:rsid w:val="003A3F07"/>
    <w:rsid w:val="003B0015"/>
    <w:rsid w:val="003C0E64"/>
    <w:rsid w:val="003D0424"/>
    <w:rsid w:val="003E1B7E"/>
    <w:rsid w:val="00414A1A"/>
    <w:rsid w:val="0042248F"/>
    <w:rsid w:val="00422D54"/>
    <w:rsid w:val="004354F0"/>
    <w:rsid w:val="004446EE"/>
    <w:rsid w:val="00445D62"/>
    <w:rsid w:val="00450248"/>
    <w:rsid w:val="0045038A"/>
    <w:rsid w:val="004819F6"/>
    <w:rsid w:val="0048530A"/>
    <w:rsid w:val="0049414F"/>
    <w:rsid w:val="004A23BD"/>
    <w:rsid w:val="004A5BD8"/>
    <w:rsid w:val="004C1F6F"/>
    <w:rsid w:val="004E7AFF"/>
    <w:rsid w:val="004E7D35"/>
    <w:rsid w:val="005014C2"/>
    <w:rsid w:val="00511597"/>
    <w:rsid w:val="0053779E"/>
    <w:rsid w:val="005507E5"/>
    <w:rsid w:val="00585927"/>
    <w:rsid w:val="00593EDE"/>
    <w:rsid w:val="00597BE2"/>
    <w:rsid w:val="005A022A"/>
    <w:rsid w:val="005C3809"/>
    <w:rsid w:val="005D6485"/>
    <w:rsid w:val="0060047C"/>
    <w:rsid w:val="00610BBC"/>
    <w:rsid w:val="00614DA0"/>
    <w:rsid w:val="00615AB5"/>
    <w:rsid w:val="00621924"/>
    <w:rsid w:val="0066464A"/>
    <w:rsid w:val="00671F5C"/>
    <w:rsid w:val="00677C18"/>
    <w:rsid w:val="00694322"/>
    <w:rsid w:val="006A0BB1"/>
    <w:rsid w:val="006B0DBA"/>
    <w:rsid w:val="006B3B10"/>
    <w:rsid w:val="006B43A8"/>
    <w:rsid w:val="006D254E"/>
    <w:rsid w:val="006E465F"/>
    <w:rsid w:val="006E6631"/>
    <w:rsid w:val="006F4DC2"/>
    <w:rsid w:val="00720B19"/>
    <w:rsid w:val="007427E9"/>
    <w:rsid w:val="00742C7D"/>
    <w:rsid w:val="007759C7"/>
    <w:rsid w:val="007C2CD0"/>
    <w:rsid w:val="007C3919"/>
    <w:rsid w:val="007D3314"/>
    <w:rsid w:val="007D3B0A"/>
    <w:rsid w:val="007F1B3D"/>
    <w:rsid w:val="00826BA0"/>
    <w:rsid w:val="00847B57"/>
    <w:rsid w:val="00882A97"/>
    <w:rsid w:val="008A36E1"/>
    <w:rsid w:val="008A64B6"/>
    <w:rsid w:val="008B2E32"/>
    <w:rsid w:val="008C4E7F"/>
    <w:rsid w:val="009156F1"/>
    <w:rsid w:val="009176C3"/>
    <w:rsid w:val="00936C33"/>
    <w:rsid w:val="00946DCC"/>
    <w:rsid w:val="00967A48"/>
    <w:rsid w:val="0097706F"/>
    <w:rsid w:val="00977DAF"/>
    <w:rsid w:val="0099019C"/>
    <w:rsid w:val="009923DA"/>
    <w:rsid w:val="009D0584"/>
    <w:rsid w:val="009D49FF"/>
    <w:rsid w:val="009E074D"/>
    <w:rsid w:val="009F3319"/>
    <w:rsid w:val="00A04FCD"/>
    <w:rsid w:val="00A127C9"/>
    <w:rsid w:val="00A239F1"/>
    <w:rsid w:val="00A27142"/>
    <w:rsid w:val="00A375FC"/>
    <w:rsid w:val="00A558DF"/>
    <w:rsid w:val="00A7187C"/>
    <w:rsid w:val="00A762A1"/>
    <w:rsid w:val="00A822FF"/>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63512"/>
    <w:rsid w:val="00B70002"/>
    <w:rsid w:val="00B80096"/>
    <w:rsid w:val="00BD0335"/>
    <w:rsid w:val="00BF41DE"/>
    <w:rsid w:val="00BF499B"/>
    <w:rsid w:val="00C022DC"/>
    <w:rsid w:val="00C109BF"/>
    <w:rsid w:val="00C14E6D"/>
    <w:rsid w:val="00C378CD"/>
    <w:rsid w:val="00C41897"/>
    <w:rsid w:val="00C66FD3"/>
    <w:rsid w:val="00C82BAD"/>
    <w:rsid w:val="00C96044"/>
    <w:rsid w:val="00CF1825"/>
    <w:rsid w:val="00D10E52"/>
    <w:rsid w:val="00D318D4"/>
    <w:rsid w:val="00D37B45"/>
    <w:rsid w:val="00D52CFD"/>
    <w:rsid w:val="00D54E38"/>
    <w:rsid w:val="00D77309"/>
    <w:rsid w:val="00D852FF"/>
    <w:rsid w:val="00D918E5"/>
    <w:rsid w:val="00D97D57"/>
    <w:rsid w:val="00DE134B"/>
    <w:rsid w:val="00E049BB"/>
    <w:rsid w:val="00E1204F"/>
    <w:rsid w:val="00E126BF"/>
    <w:rsid w:val="00E15349"/>
    <w:rsid w:val="00E20CA9"/>
    <w:rsid w:val="00E34B0C"/>
    <w:rsid w:val="00E46668"/>
    <w:rsid w:val="00E46703"/>
    <w:rsid w:val="00E56533"/>
    <w:rsid w:val="00E623B7"/>
    <w:rsid w:val="00E66D10"/>
    <w:rsid w:val="00E726EC"/>
    <w:rsid w:val="00E74AAB"/>
    <w:rsid w:val="00E837BF"/>
    <w:rsid w:val="00E83DF2"/>
    <w:rsid w:val="00EA781C"/>
    <w:rsid w:val="00EB3AD1"/>
    <w:rsid w:val="00F2192D"/>
    <w:rsid w:val="00F36344"/>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purl.org/dc/dcmitype/"/>
    <ds:schemaRef ds:uri="http://schemas.openxmlformats.org/package/2006/metadata/core-properties"/>
    <ds:schemaRef ds:uri="b4a743ce-4823-43db-b20d-7d3df7f7f039"/>
    <ds:schemaRef ds:uri="http://purl.org/dc/terms/"/>
    <ds:schemaRef ds:uri="http://schemas.microsoft.com/office/2006/documentManagement/types"/>
    <ds:schemaRef ds:uri="http://schemas.microsoft.com/office/infopath/2007/PartnerControls"/>
    <ds:schemaRef ds:uri="07b9963f-cea8-48bb-8fbe-6793a66c4b52"/>
    <ds:schemaRef ds:uri="http://purl.org/dc/elements/1.1/"/>
    <ds:schemaRef ds:uri="http://schemas.microsoft.com/office/2006/metadata/properties"/>
    <ds:schemaRef ds:uri="C982FDA9-C52B-4FAF-AF49-78724E97E0EA"/>
    <ds:schemaRef ds:uri="07B9963F-CEA8-48BB-8FBE-6793A66C4B5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6908B5CC-FA6C-486A-B9D9-AD053CB74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1729</Words>
  <Characters>9515</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GOUBY Nathalie</cp:lastModifiedBy>
  <cp:revision>28</cp:revision>
  <cp:lastPrinted>2017-12-01T09:53:00Z</cp:lastPrinted>
  <dcterms:created xsi:type="dcterms:W3CDTF">2019-02-27T13:14:00Z</dcterms:created>
  <dcterms:modified xsi:type="dcterms:W3CDTF">2019-03-08T15:51:00Z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