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558DF" w:rsidRPr="00694322" w:rsidRDefault="00E1204F" w:rsidP="00E46703">
      <w:pPr>
        <w:pStyle w:val="AMFDoctrineType"/>
      </w:pPr>
      <w:r w:rsidRPr="00694322">
        <mc:AlternateContent>
          <mc:Choice Requires="wps">
            <w:drawing>
              <wp:anchor distT="0" distB="0" distL="114300" distR="114300" simplePos="0" relativeHeight="251659264" behindDoc="0" locked="0" layoutInCell="1" allowOverlap="1" wp14:anchorId="046417F6" wp14:editId="0EF7EEB2">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sdt>
        <w:sdtPr>
          <w:alias w:val="Type de doctrine"/>
          <w:tag w:val="Type de doctrine"/>
          <w:id w:val="-1856796911"/>
          <w:placeholder>
            <w:docPart w:val="1A28DF5C1D674A3C8251E64CA1A52CE3"/>
          </w:placeholder>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AE5A5A">
            <w:t>Instruction AMF</w:t>
          </w:r>
        </w:sdtContent>
      </w:sdt>
    </w:p>
    <w:p w:rsidR="0097706F" w:rsidRPr="00694322" w:rsidRDefault="00E1204F" w:rsidP="00333E95">
      <w:pPr>
        <w:pStyle w:val="AMFDoctrineRfrence"/>
      </w:pPr>
      <w:r w:rsidRPr="00694322">
        <mc:AlternateContent>
          <mc:Choice Requires="wps">
            <w:drawing>
              <wp:anchor distT="0" distB="0" distL="114300" distR="114300" simplePos="0" relativeHeight="251661312" behindDoc="0" locked="0" layoutInCell="1" allowOverlap="1" wp14:anchorId="588CCA3A" wp14:editId="2C36E950">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r w:rsidR="00F65D9C">
        <w:t>DOC-2019</w:t>
      </w:r>
      <w:r w:rsidR="00232514" w:rsidRPr="00694322">
        <w:t>-</w:t>
      </w:r>
      <w:r w:rsidR="00EB3FE9">
        <w:t>04</w:t>
      </w:r>
    </w:p>
    <w:p w:rsidR="00330C47" w:rsidRDefault="00330C47" w:rsidP="004E7D35">
      <w:pPr>
        <w:pStyle w:val="Notedebasdepage"/>
        <w:tabs>
          <w:tab w:val="right" w:leader="dot" w:pos="8364"/>
        </w:tabs>
        <w:jc w:val="center"/>
        <w:rPr>
          <w:rFonts w:ascii="Calibri" w:hAnsi="Calibri" w:cs="Arial"/>
          <w:b/>
          <w:bCs/>
          <w:snapToGrid w:val="0"/>
          <w:sz w:val="20"/>
          <w:szCs w:val="20"/>
        </w:rPr>
      </w:pPr>
    </w:p>
    <w:p w:rsidR="00330C47" w:rsidRDefault="00330C47" w:rsidP="004E7D35">
      <w:pPr>
        <w:pStyle w:val="Notedebasdepage"/>
        <w:tabs>
          <w:tab w:val="right" w:leader="dot" w:pos="8364"/>
        </w:tabs>
        <w:jc w:val="center"/>
        <w:rPr>
          <w:rFonts w:ascii="Calibri" w:hAnsi="Calibri" w:cs="Arial"/>
          <w:b/>
          <w:bCs/>
          <w:snapToGrid w:val="0"/>
          <w:sz w:val="20"/>
          <w:szCs w:val="20"/>
        </w:rPr>
      </w:pPr>
    </w:p>
    <w:p w:rsidR="00321180" w:rsidRPr="00F65D9C" w:rsidRDefault="00F65D9C" w:rsidP="00F65D9C">
      <w:pPr>
        <w:pStyle w:val="AMFDoctrineTextesrfrence"/>
        <w:rPr>
          <w:snapToGrid w:val="0"/>
        </w:rPr>
      </w:pPr>
      <w:r w:rsidRPr="00F65D9C">
        <w:rPr>
          <w:snapToGrid w:val="0"/>
        </w:rPr>
        <w:t>Plan-type de la n</w:t>
      </w:r>
      <w:r w:rsidR="00330C47" w:rsidRPr="00F65D9C">
        <w:rPr>
          <w:snapToGrid w:val="0"/>
        </w:rPr>
        <w:t>ote d’</w:t>
      </w:r>
      <w:r w:rsidR="0099019C">
        <w:rPr>
          <w:snapToGrid w:val="0"/>
        </w:rPr>
        <w:t xml:space="preserve">information des </w:t>
      </w:r>
      <w:r w:rsidR="000C2609">
        <w:rPr>
          <w:snapToGrid w:val="0"/>
        </w:rPr>
        <w:t>groupements forestiers d’investissement</w:t>
      </w:r>
    </w:p>
    <w:p w:rsidR="000C2609" w:rsidRPr="000C2609" w:rsidRDefault="000C2609" w:rsidP="000C2609">
      <w:pPr>
        <w:jc w:val="both"/>
        <w:rPr>
          <w:rFonts w:ascii="Calibri" w:hAnsi="Calibri" w:cs="Arial"/>
          <w:b/>
          <w:sz w:val="20"/>
          <w:szCs w:val="20"/>
        </w:rPr>
      </w:pPr>
      <w:r w:rsidRPr="000C2609">
        <w:rPr>
          <w:rFonts w:ascii="Calibri" w:hAnsi="Calibri" w:cs="Arial"/>
          <w:sz w:val="20"/>
          <w:szCs w:val="20"/>
        </w:rPr>
        <w:t xml:space="preserve">Ce document constitue l’annexe </w:t>
      </w:r>
      <w:r w:rsidR="00412821">
        <w:rPr>
          <w:rFonts w:ascii="Calibri" w:hAnsi="Calibri" w:cs="Arial"/>
          <w:sz w:val="20"/>
          <w:szCs w:val="20"/>
        </w:rPr>
        <w:t>I ter de l’instruction AMF DOC-</w:t>
      </w:r>
      <w:r>
        <w:rPr>
          <w:rFonts w:ascii="Calibri" w:hAnsi="Calibri" w:cs="Arial"/>
          <w:sz w:val="20"/>
          <w:szCs w:val="20"/>
        </w:rPr>
        <w:t>2019</w:t>
      </w:r>
      <w:r w:rsidRPr="000C2609">
        <w:rPr>
          <w:rFonts w:ascii="Calibri" w:hAnsi="Calibri" w:cs="Arial"/>
          <w:sz w:val="20"/>
          <w:szCs w:val="20"/>
        </w:rPr>
        <w:t>-</w:t>
      </w:r>
      <w:r w:rsidR="00EB3FE9">
        <w:rPr>
          <w:rFonts w:ascii="Calibri" w:hAnsi="Calibri" w:cs="Arial"/>
          <w:sz w:val="20"/>
          <w:szCs w:val="20"/>
        </w:rPr>
        <w:t xml:space="preserve">04 </w:t>
      </w:r>
      <w:r w:rsidRPr="000C2609">
        <w:rPr>
          <w:rFonts w:ascii="Calibri" w:hAnsi="Calibri" w:cs="Arial"/>
          <w:sz w:val="20"/>
          <w:szCs w:val="20"/>
        </w:rPr>
        <w:t>- Sociétés civiles de placement immobilier, sociétés d’épargne forestière et groupements forestiers d’investissement</w:t>
      </w:r>
    </w:p>
    <w:p w:rsidR="000C2609" w:rsidRPr="000C2609" w:rsidRDefault="000C2609" w:rsidP="000C2609">
      <w:pPr>
        <w:jc w:val="both"/>
        <w:rPr>
          <w:rFonts w:ascii="Calibri" w:hAnsi="Calibri" w:cs="Arial"/>
          <w:sz w:val="20"/>
          <w:szCs w:val="20"/>
          <w:u w:val="single"/>
        </w:rPr>
      </w:pPr>
    </w:p>
    <w:p w:rsidR="000C2609" w:rsidRPr="000C2609" w:rsidRDefault="000C2609" w:rsidP="000C2609">
      <w:pPr>
        <w:jc w:val="both"/>
        <w:rPr>
          <w:rFonts w:ascii="Calibri" w:hAnsi="Calibri" w:cs="Arial"/>
          <w:b/>
          <w:bCs/>
          <w:sz w:val="20"/>
          <w:szCs w:val="20"/>
        </w:rPr>
      </w:pPr>
      <w:r w:rsidRPr="000C2609">
        <w:rPr>
          <w:rFonts w:ascii="Calibri" w:hAnsi="Calibri" w:cs="Arial"/>
          <w:b/>
          <w:bCs/>
          <w:sz w:val="20"/>
          <w:szCs w:val="20"/>
        </w:rPr>
        <w:t>Introduction</w:t>
      </w:r>
    </w:p>
    <w:p w:rsidR="000C2609" w:rsidRPr="000C2609" w:rsidRDefault="000C2609" w:rsidP="000C2609">
      <w:pPr>
        <w:jc w:val="both"/>
        <w:rPr>
          <w:rFonts w:ascii="Calibri" w:hAnsi="Calibri" w:cs="Arial"/>
          <w:b/>
          <w:bCs/>
          <w:sz w:val="20"/>
          <w:szCs w:val="20"/>
        </w:rPr>
      </w:pPr>
    </w:p>
    <w:p w:rsidR="000C2609" w:rsidRPr="000C2609" w:rsidRDefault="000C2609" w:rsidP="000C2609">
      <w:pPr>
        <w:numPr>
          <w:ilvl w:val="0"/>
          <w:numId w:val="20"/>
        </w:numPr>
        <w:tabs>
          <w:tab w:val="clear" w:pos="750"/>
          <w:tab w:val="num" w:pos="709"/>
        </w:tabs>
        <w:ind w:left="709" w:hanging="349"/>
        <w:jc w:val="both"/>
        <w:rPr>
          <w:rFonts w:ascii="Calibri" w:hAnsi="Calibri" w:cs="Arial"/>
          <w:sz w:val="20"/>
          <w:szCs w:val="20"/>
        </w:rPr>
      </w:pPr>
      <w:r w:rsidRPr="000C2609">
        <w:rPr>
          <w:rFonts w:ascii="Calibri" w:hAnsi="Calibri" w:cs="Arial"/>
          <w:sz w:val="20"/>
          <w:szCs w:val="20"/>
        </w:rPr>
        <w:t>Mention indiquant si le GFI est :</w:t>
      </w:r>
    </w:p>
    <w:p w:rsidR="000C2609" w:rsidRPr="000C2609" w:rsidRDefault="000C2609" w:rsidP="000C2609">
      <w:pPr>
        <w:numPr>
          <w:ilvl w:val="0"/>
          <w:numId w:val="34"/>
        </w:numPr>
        <w:jc w:val="both"/>
        <w:rPr>
          <w:rFonts w:ascii="Calibri" w:hAnsi="Calibri" w:cs="Arial"/>
          <w:sz w:val="20"/>
          <w:szCs w:val="20"/>
        </w:rPr>
      </w:pPr>
      <w:r w:rsidRPr="000C2609">
        <w:rPr>
          <w:rFonts w:ascii="Calibri" w:hAnsi="Calibri" w:cs="Arial"/>
          <w:sz w:val="20"/>
          <w:szCs w:val="20"/>
        </w:rPr>
        <w:t>à capital variable ;</w:t>
      </w:r>
    </w:p>
    <w:p w:rsidR="000C2609" w:rsidRPr="000C2609" w:rsidRDefault="000C2609" w:rsidP="000C2609">
      <w:pPr>
        <w:numPr>
          <w:ilvl w:val="0"/>
          <w:numId w:val="34"/>
        </w:numPr>
        <w:jc w:val="both"/>
        <w:rPr>
          <w:rFonts w:ascii="Calibri" w:hAnsi="Calibri" w:cs="Arial"/>
          <w:sz w:val="20"/>
          <w:szCs w:val="20"/>
        </w:rPr>
      </w:pPr>
      <w:r w:rsidRPr="000C2609">
        <w:rPr>
          <w:rFonts w:ascii="Calibri" w:hAnsi="Calibri" w:cs="Arial"/>
          <w:sz w:val="20"/>
          <w:szCs w:val="20"/>
        </w:rPr>
        <w:t>à capital variable avec possibilité de cession des parts sur le marché secondaire en cas de blocage des retraits ;</w:t>
      </w:r>
    </w:p>
    <w:p w:rsidR="000C2609" w:rsidRPr="000C2609" w:rsidRDefault="000C2609" w:rsidP="000C2609">
      <w:pPr>
        <w:numPr>
          <w:ilvl w:val="0"/>
          <w:numId w:val="34"/>
        </w:numPr>
        <w:jc w:val="both"/>
        <w:rPr>
          <w:rFonts w:ascii="Calibri" w:hAnsi="Calibri" w:cs="Arial"/>
          <w:sz w:val="20"/>
          <w:szCs w:val="20"/>
        </w:rPr>
      </w:pPr>
      <w:r w:rsidRPr="000C2609">
        <w:rPr>
          <w:rFonts w:ascii="Calibri" w:hAnsi="Calibri" w:cs="Arial"/>
          <w:sz w:val="20"/>
          <w:szCs w:val="20"/>
        </w:rPr>
        <w:t>à capital fixe.</w:t>
      </w:r>
    </w:p>
    <w:p w:rsidR="000C2609" w:rsidRPr="000C2609" w:rsidRDefault="000C2609" w:rsidP="000C2609">
      <w:pPr>
        <w:jc w:val="both"/>
        <w:rPr>
          <w:rFonts w:ascii="Calibri" w:hAnsi="Calibri" w:cs="Arial"/>
          <w:sz w:val="20"/>
          <w:szCs w:val="20"/>
        </w:rPr>
      </w:pPr>
    </w:p>
    <w:p w:rsidR="000C2609" w:rsidRPr="000C2609" w:rsidRDefault="000C2609" w:rsidP="000C2609">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R</w:t>
      </w:r>
      <w:r w:rsidRPr="000C2609">
        <w:rPr>
          <w:rFonts w:ascii="Calibri" w:hAnsi="Calibri" w:cs="Arial"/>
          <w:sz w:val="20"/>
          <w:szCs w:val="20"/>
        </w:rPr>
        <w:t>enseignements sur les fondateurs ;</w:t>
      </w:r>
    </w:p>
    <w:p w:rsidR="000C2609" w:rsidRPr="000C2609" w:rsidRDefault="000C2609" w:rsidP="000C2609">
      <w:pPr>
        <w:jc w:val="both"/>
        <w:rPr>
          <w:rFonts w:ascii="Calibri" w:hAnsi="Calibri" w:cs="Arial"/>
          <w:sz w:val="20"/>
          <w:szCs w:val="20"/>
        </w:rPr>
      </w:pPr>
    </w:p>
    <w:p w:rsidR="000C2609" w:rsidRPr="000C2609" w:rsidRDefault="000C2609" w:rsidP="000C2609">
      <w:pPr>
        <w:numPr>
          <w:ilvl w:val="0"/>
          <w:numId w:val="20"/>
        </w:numPr>
        <w:tabs>
          <w:tab w:val="clear" w:pos="750"/>
          <w:tab w:val="num" w:pos="709"/>
        </w:tabs>
        <w:ind w:left="709" w:hanging="349"/>
        <w:jc w:val="both"/>
        <w:rPr>
          <w:rFonts w:ascii="Calibri" w:hAnsi="Calibri" w:cs="Arial"/>
          <w:sz w:val="20"/>
          <w:szCs w:val="20"/>
        </w:rPr>
      </w:pPr>
      <w:r>
        <w:rPr>
          <w:rFonts w:ascii="Calibri" w:hAnsi="Calibri" w:cs="Arial"/>
          <w:sz w:val="20"/>
          <w:szCs w:val="20"/>
        </w:rPr>
        <w:t>C</w:t>
      </w:r>
      <w:r w:rsidRPr="000C2609">
        <w:rPr>
          <w:rFonts w:ascii="Calibri" w:hAnsi="Calibri" w:cs="Arial"/>
          <w:sz w:val="20"/>
          <w:szCs w:val="20"/>
        </w:rPr>
        <w:t>aractéristiques d’un GFI et objectifs et politique d’investissement  comprenant notamment :</w:t>
      </w:r>
    </w:p>
    <w:p w:rsidR="000C2609" w:rsidRPr="000C2609" w:rsidRDefault="000C2609" w:rsidP="000C2609">
      <w:pPr>
        <w:numPr>
          <w:ilvl w:val="0"/>
          <w:numId w:val="34"/>
        </w:numPr>
        <w:jc w:val="both"/>
        <w:rPr>
          <w:rFonts w:ascii="Calibri" w:hAnsi="Calibri" w:cs="Arial"/>
          <w:sz w:val="20"/>
          <w:szCs w:val="20"/>
        </w:rPr>
      </w:pPr>
      <w:r w:rsidRPr="000C2609">
        <w:rPr>
          <w:rFonts w:ascii="Calibri" w:hAnsi="Calibri" w:cs="Arial"/>
          <w:sz w:val="20"/>
          <w:szCs w:val="20"/>
        </w:rPr>
        <w:t>description des types d’actifs dans lesquels le GFI peut investir ;</w:t>
      </w:r>
    </w:p>
    <w:p w:rsidR="000C2609" w:rsidRPr="000C2609" w:rsidRDefault="000C2609" w:rsidP="000C2609">
      <w:pPr>
        <w:numPr>
          <w:ilvl w:val="0"/>
          <w:numId w:val="34"/>
        </w:numPr>
        <w:jc w:val="both"/>
        <w:rPr>
          <w:rFonts w:ascii="Calibri" w:hAnsi="Calibri" w:cs="Arial"/>
          <w:sz w:val="20"/>
          <w:szCs w:val="20"/>
        </w:rPr>
      </w:pPr>
      <w:r w:rsidRPr="000C2609">
        <w:rPr>
          <w:rFonts w:ascii="Calibri" w:hAnsi="Calibri" w:cs="Arial"/>
          <w:sz w:val="20"/>
          <w:szCs w:val="20"/>
        </w:rPr>
        <w:t>règles de composition de l’actif (part minimum de bois et forêts…) ;</w:t>
      </w:r>
    </w:p>
    <w:p w:rsidR="000C2609" w:rsidRPr="000C2609" w:rsidRDefault="000C2609" w:rsidP="000C2609">
      <w:pPr>
        <w:numPr>
          <w:ilvl w:val="0"/>
          <w:numId w:val="34"/>
        </w:numPr>
        <w:jc w:val="both"/>
        <w:rPr>
          <w:rFonts w:ascii="Calibri" w:hAnsi="Calibri" w:cs="Arial"/>
          <w:sz w:val="20"/>
          <w:szCs w:val="20"/>
        </w:rPr>
      </w:pPr>
      <w:r w:rsidRPr="000C2609">
        <w:rPr>
          <w:rFonts w:ascii="Calibri" w:hAnsi="Calibri" w:cs="Arial"/>
          <w:sz w:val="20"/>
          <w:szCs w:val="20"/>
        </w:rPr>
        <w:t>modalités d’acquisition, d’échange et de cession des actifs ;</w:t>
      </w:r>
    </w:p>
    <w:p w:rsidR="000C2609" w:rsidRPr="000C2609" w:rsidRDefault="000C2609" w:rsidP="000C2609">
      <w:pPr>
        <w:numPr>
          <w:ilvl w:val="0"/>
          <w:numId w:val="34"/>
        </w:numPr>
        <w:jc w:val="both"/>
        <w:rPr>
          <w:rFonts w:ascii="Calibri" w:hAnsi="Calibri" w:cs="Arial"/>
          <w:sz w:val="20"/>
          <w:szCs w:val="20"/>
        </w:rPr>
      </w:pPr>
      <w:r w:rsidRPr="000C2609">
        <w:rPr>
          <w:rFonts w:ascii="Calibri" w:hAnsi="Calibri" w:cs="Arial"/>
          <w:sz w:val="20"/>
          <w:szCs w:val="20"/>
        </w:rPr>
        <w:t>objectifs en termes de diversification géographique et si nécessaire de composition, de classes d’âge, de classe de diamètre ou de mode de traitement) ;</w:t>
      </w:r>
    </w:p>
    <w:p w:rsidR="000C2609" w:rsidRPr="000C2609" w:rsidRDefault="000C2609" w:rsidP="000C2609">
      <w:pPr>
        <w:numPr>
          <w:ilvl w:val="0"/>
          <w:numId w:val="34"/>
        </w:numPr>
        <w:jc w:val="both"/>
        <w:rPr>
          <w:rFonts w:ascii="Calibri" w:hAnsi="Calibri" w:cs="Arial"/>
          <w:sz w:val="20"/>
          <w:szCs w:val="20"/>
        </w:rPr>
      </w:pPr>
      <w:r w:rsidRPr="000C2609">
        <w:rPr>
          <w:rFonts w:ascii="Calibri" w:hAnsi="Calibri" w:cs="Arial"/>
          <w:sz w:val="20"/>
          <w:szCs w:val="20"/>
        </w:rPr>
        <w:t>liste exhaustive des charges supportées et produits générés par les bois détenus avec indication, éventuellement, de calendriers et montants indicatifs selon les caractéristiques des bois et forêts recherchés ;</w:t>
      </w:r>
    </w:p>
    <w:p w:rsidR="000C2609" w:rsidRPr="000C2609" w:rsidRDefault="000C2609" w:rsidP="000C2609">
      <w:pPr>
        <w:numPr>
          <w:ilvl w:val="0"/>
          <w:numId w:val="34"/>
        </w:numPr>
        <w:jc w:val="both"/>
        <w:rPr>
          <w:rFonts w:ascii="Calibri" w:hAnsi="Calibri" w:cs="Arial"/>
          <w:sz w:val="20"/>
          <w:szCs w:val="20"/>
        </w:rPr>
      </w:pPr>
      <w:r w:rsidRPr="000C2609">
        <w:rPr>
          <w:rFonts w:ascii="Calibri" w:hAnsi="Calibri" w:cs="Arial"/>
          <w:sz w:val="20"/>
          <w:szCs w:val="20"/>
        </w:rPr>
        <w:t>les charges correspondant aux travaux d’amélioration des bois et de leurs dépendances et accessoires, aux travaux d’entretien du patrimoine forestier, aux travaux de coupe des bois et opérations préalables et aux frais de gestion ;</w:t>
      </w:r>
    </w:p>
    <w:p w:rsidR="000C2609" w:rsidRPr="000C2609" w:rsidRDefault="000C2609" w:rsidP="000C2609">
      <w:pPr>
        <w:numPr>
          <w:ilvl w:val="0"/>
          <w:numId w:val="34"/>
        </w:numPr>
        <w:jc w:val="both"/>
        <w:rPr>
          <w:rFonts w:ascii="Calibri" w:hAnsi="Calibri" w:cs="Arial"/>
          <w:sz w:val="20"/>
          <w:szCs w:val="20"/>
        </w:rPr>
      </w:pPr>
      <w:r w:rsidRPr="000C2609">
        <w:rPr>
          <w:rFonts w:ascii="Calibri" w:hAnsi="Calibri" w:cs="Arial"/>
          <w:sz w:val="20"/>
          <w:szCs w:val="20"/>
        </w:rPr>
        <w:t>risques liés au placement forestier (revenus aléatoires au regard de l’évolution du prix des bois et des risques naturels) ;</w:t>
      </w:r>
    </w:p>
    <w:p w:rsidR="000C2609" w:rsidRPr="000C2609" w:rsidRDefault="000C2609" w:rsidP="000C2609">
      <w:pPr>
        <w:jc w:val="both"/>
        <w:rPr>
          <w:rFonts w:ascii="Calibri" w:hAnsi="Calibri" w:cs="Arial"/>
          <w:sz w:val="20"/>
          <w:szCs w:val="20"/>
        </w:rPr>
      </w:pPr>
    </w:p>
    <w:p w:rsidR="000C2609" w:rsidRPr="000C2609" w:rsidRDefault="000C2609" w:rsidP="000C2609">
      <w:pPr>
        <w:numPr>
          <w:ilvl w:val="0"/>
          <w:numId w:val="29"/>
        </w:numPr>
        <w:jc w:val="both"/>
        <w:rPr>
          <w:rFonts w:ascii="Calibri" w:hAnsi="Calibri" w:cs="Arial"/>
          <w:sz w:val="20"/>
          <w:szCs w:val="20"/>
        </w:rPr>
      </w:pPr>
      <w:r>
        <w:rPr>
          <w:rFonts w:ascii="Calibri" w:hAnsi="Calibri" w:cs="Arial"/>
          <w:sz w:val="20"/>
          <w:szCs w:val="20"/>
        </w:rPr>
        <w:t>D</w:t>
      </w:r>
      <w:r w:rsidRPr="000C2609">
        <w:rPr>
          <w:rFonts w:ascii="Calibri" w:hAnsi="Calibri" w:cs="Arial"/>
          <w:sz w:val="20"/>
          <w:szCs w:val="20"/>
        </w:rPr>
        <w:t>escription des procédures pouvant être mises en œuvre par le GFI pour changer sa stratégie d’investissement ou sa politique d’investissement.</w:t>
      </w:r>
    </w:p>
    <w:p w:rsidR="000C2609" w:rsidRPr="000C2609" w:rsidRDefault="000C2609" w:rsidP="000C2609">
      <w:pPr>
        <w:jc w:val="both"/>
        <w:rPr>
          <w:rFonts w:ascii="Calibri" w:hAnsi="Calibri" w:cs="Arial"/>
          <w:sz w:val="20"/>
          <w:szCs w:val="20"/>
        </w:rPr>
      </w:pPr>
    </w:p>
    <w:p w:rsidR="000C2609" w:rsidRPr="000C2609" w:rsidRDefault="000C2609" w:rsidP="000C2609">
      <w:pPr>
        <w:numPr>
          <w:ilvl w:val="0"/>
          <w:numId w:val="29"/>
        </w:numPr>
        <w:jc w:val="both"/>
        <w:rPr>
          <w:rFonts w:ascii="Calibri" w:hAnsi="Calibri" w:cs="Arial"/>
          <w:sz w:val="20"/>
          <w:szCs w:val="20"/>
        </w:rPr>
      </w:pPr>
      <w:r>
        <w:rPr>
          <w:rFonts w:ascii="Calibri" w:hAnsi="Calibri" w:cs="Arial"/>
          <w:sz w:val="20"/>
          <w:szCs w:val="20"/>
        </w:rPr>
        <w:t>D</w:t>
      </w:r>
      <w:r w:rsidRPr="000C2609">
        <w:rPr>
          <w:rFonts w:ascii="Calibri" w:hAnsi="Calibri" w:cs="Arial"/>
          <w:sz w:val="20"/>
          <w:szCs w:val="20"/>
        </w:rPr>
        <w:t>ate de souscription par les fondateurs ;</w:t>
      </w:r>
    </w:p>
    <w:p w:rsidR="000C2609" w:rsidRPr="000C2609" w:rsidRDefault="000C2609" w:rsidP="000C2609">
      <w:pPr>
        <w:jc w:val="both"/>
        <w:rPr>
          <w:rFonts w:ascii="Calibri" w:hAnsi="Calibri" w:cs="Arial"/>
          <w:sz w:val="20"/>
          <w:szCs w:val="20"/>
        </w:rPr>
      </w:pPr>
    </w:p>
    <w:p w:rsidR="000C2609" w:rsidRPr="000C2609" w:rsidRDefault="000C2609" w:rsidP="000C2609">
      <w:pPr>
        <w:numPr>
          <w:ilvl w:val="0"/>
          <w:numId w:val="29"/>
        </w:numPr>
        <w:jc w:val="both"/>
        <w:rPr>
          <w:rFonts w:ascii="Calibri" w:hAnsi="Calibri" w:cs="Arial"/>
          <w:sz w:val="20"/>
          <w:szCs w:val="20"/>
        </w:rPr>
      </w:pPr>
      <w:r>
        <w:rPr>
          <w:rFonts w:ascii="Calibri" w:hAnsi="Calibri" w:cs="Arial"/>
          <w:sz w:val="20"/>
          <w:szCs w:val="20"/>
        </w:rPr>
        <w:t>R</w:t>
      </w:r>
      <w:r w:rsidRPr="000C2609">
        <w:rPr>
          <w:rFonts w:ascii="Calibri" w:hAnsi="Calibri" w:cs="Arial"/>
          <w:sz w:val="20"/>
          <w:szCs w:val="20"/>
        </w:rPr>
        <w:t>esponsabilité des associés ;</w:t>
      </w:r>
    </w:p>
    <w:p w:rsidR="000C2609" w:rsidRPr="000C2609" w:rsidRDefault="000C2609" w:rsidP="000C2609">
      <w:pPr>
        <w:jc w:val="both"/>
        <w:rPr>
          <w:rFonts w:ascii="Calibri" w:hAnsi="Calibri" w:cs="Arial"/>
          <w:sz w:val="20"/>
          <w:szCs w:val="20"/>
        </w:rPr>
      </w:pPr>
    </w:p>
    <w:p w:rsidR="000C2609" w:rsidRPr="000C2609" w:rsidRDefault="000C2609" w:rsidP="000C2609">
      <w:pPr>
        <w:numPr>
          <w:ilvl w:val="0"/>
          <w:numId w:val="29"/>
        </w:numPr>
        <w:jc w:val="both"/>
        <w:rPr>
          <w:rFonts w:ascii="Calibri" w:hAnsi="Calibri" w:cs="Arial"/>
          <w:sz w:val="20"/>
          <w:szCs w:val="20"/>
        </w:rPr>
      </w:pPr>
      <w:r w:rsidRPr="000C2609">
        <w:rPr>
          <w:rFonts w:ascii="Calibri" w:hAnsi="Calibri" w:cs="Arial"/>
          <w:sz w:val="20"/>
          <w:szCs w:val="20"/>
        </w:rPr>
        <w:t>Principaux facteurs de risques pour les investisseurs ;</w:t>
      </w:r>
    </w:p>
    <w:p w:rsidR="000C2609" w:rsidRPr="000C2609" w:rsidRDefault="000C2609" w:rsidP="000C2609">
      <w:pPr>
        <w:jc w:val="both"/>
        <w:rPr>
          <w:rFonts w:ascii="Calibri" w:hAnsi="Calibri" w:cs="Arial"/>
          <w:sz w:val="20"/>
          <w:szCs w:val="20"/>
        </w:rPr>
      </w:pPr>
    </w:p>
    <w:p w:rsidR="000C2609" w:rsidRPr="000C2609" w:rsidRDefault="000C2609" w:rsidP="000C2609">
      <w:pPr>
        <w:numPr>
          <w:ilvl w:val="0"/>
          <w:numId w:val="29"/>
        </w:numPr>
        <w:jc w:val="both"/>
        <w:rPr>
          <w:rFonts w:ascii="Calibri" w:hAnsi="Calibri" w:cs="Arial"/>
          <w:sz w:val="20"/>
          <w:szCs w:val="20"/>
        </w:rPr>
      </w:pPr>
      <w:r w:rsidRPr="000C2609">
        <w:rPr>
          <w:rFonts w:ascii="Calibri" w:hAnsi="Calibri" w:cs="Arial"/>
          <w:sz w:val="20"/>
          <w:szCs w:val="20"/>
        </w:rPr>
        <w:t xml:space="preserve">Une description de la procédure d’évaluation du GFI et de la méthodologie de détermination du prix employée pour évaluer la valeur des actifs, y compris les méthodes employées pour </w:t>
      </w:r>
      <w:r w:rsidR="003A0BFA">
        <w:rPr>
          <w:rFonts w:ascii="Calibri" w:hAnsi="Calibri" w:cs="Arial"/>
          <w:sz w:val="20"/>
          <w:szCs w:val="20"/>
        </w:rPr>
        <w:t>les actifs difficiles à évaluer ;</w:t>
      </w:r>
    </w:p>
    <w:p w:rsidR="000C2609" w:rsidRPr="000C2609" w:rsidRDefault="000C2609" w:rsidP="000C2609">
      <w:pPr>
        <w:jc w:val="both"/>
        <w:rPr>
          <w:rFonts w:ascii="Calibri" w:hAnsi="Calibri" w:cs="Arial"/>
          <w:sz w:val="20"/>
          <w:szCs w:val="20"/>
        </w:rPr>
      </w:pPr>
    </w:p>
    <w:p w:rsidR="000C2609" w:rsidRPr="000C2609" w:rsidRDefault="000C2609" w:rsidP="000C2609">
      <w:pPr>
        <w:numPr>
          <w:ilvl w:val="0"/>
          <w:numId w:val="29"/>
        </w:numPr>
        <w:jc w:val="both"/>
        <w:rPr>
          <w:rFonts w:ascii="Calibri" w:hAnsi="Calibri" w:cs="Arial"/>
          <w:sz w:val="20"/>
          <w:szCs w:val="20"/>
        </w:rPr>
      </w:pPr>
      <w:r w:rsidRPr="000C2609">
        <w:rPr>
          <w:rFonts w:ascii="Calibri" w:hAnsi="Calibri" w:cs="Arial"/>
          <w:sz w:val="20"/>
          <w:szCs w:val="20"/>
        </w:rPr>
        <w:t>Une description des principales conséquences juridiques de l’engagement contractuel pris à des fins d’investissement, y compris des informations sur la compétence judiciaire, sur le droit applicable et sur l’existence ou non d’instruments juridiques permettant la reconnaissance et l’exécution des décisions sur le territ</w:t>
      </w:r>
      <w:r w:rsidR="00C77A5D">
        <w:rPr>
          <w:rFonts w:ascii="Calibri" w:hAnsi="Calibri" w:cs="Arial"/>
          <w:sz w:val="20"/>
          <w:szCs w:val="20"/>
        </w:rPr>
        <w:t>oire de la République française ;</w:t>
      </w: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b/>
          <w:bCs/>
          <w:sz w:val="20"/>
          <w:szCs w:val="20"/>
        </w:rPr>
      </w:pPr>
      <w:r w:rsidRPr="000C2609">
        <w:rPr>
          <w:rFonts w:ascii="Calibri" w:hAnsi="Calibri" w:cs="Arial"/>
          <w:b/>
          <w:bCs/>
          <w:sz w:val="20"/>
          <w:szCs w:val="20"/>
        </w:rPr>
        <w:t>Chapitre I</w:t>
      </w:r>
      <w:r w:rsidRPr="000C2609">
        <w:rPr>
          <w:rFonts w:ascii="Calibri" w:hAnsi="Calibri" w:cs="Arial"/>
          <w:b/>
          <w:bCs/>
          <w:sz w:val="20"/>
          <w:szCs w:val="20"/>
          <w:vertAlign w:val="superscript"/>
        </w:rPr>
        <w:t>er</w:t>
      </w:r>
      <w:r w:rsidRPr="000C2609">
        <w:rPr>
          <w:rFonts w:ascii="Calibri" w:hAnsi="Calibri" w:cs="Arial"/>
          <w:b/>
          <w:bCs/>
          <w:sz w:val="20"/>
          <w:szCs w:val="20"/>
        </w:rPr>
        <w:t xml:space="preserve"> - Conditions générales de souscription des parts</w:t>
      </w:r>
    </w:p>
    <w:p w:rsidR="000C2609" w:rsidRPr="000C2609" w:rsidRDefault="000C2609" w:rsidP="000C2609">
      <w:pPr>
        <w:jc w:val="both"/>
        <w:rPr>
          <w:rFonts w:ascii="Calibri" w:hAnsi="Calibri" w:cs="Arial"/>
          <w:sz w:val="20"/>
          <w:szCs w:val="20"/>
        </w:rPr>
      </w:pPr>
    </w:p>
    <w:p w:rsidR="000C2609" w:rsidRPr="000C2609" w:rsidRDefault="008E7378" w:rsidP="000C2609">
      <w:pPr>
        <w:tabs>
          <w:tab w:val="num" w:pos="709"/>
        </w:tabs>
        <w:ind w:left="709" w:hanging="349"/>
        <w:jc w:val="both"/>
        <w:rPr>
          <w:rFonts w:ascii="Calibri" w:hAnsi="Calibri" w:cs="Arial"/>
          <w:sz w:val="20"/>
          <w:szCs w:val="20"/>
        </w:rPr>
      </w:pPr>
      <w:r>
        <w:rPr>
          <w:rFonts w:ascii="Calibri" w:hAnsi="Calibri" w:cs="Arial"/>
          <w:sz w:val="20"/>
          <w:szCs w:val="20"/>
        </w:rPr>
        <w:t>-</w:t>
      </w:r>
      <w:r>
        <w:rPr>
          <w:rFonts w:ascii="Calibri" w:hAnsi="Calibri" w:cs="Arial"/>
          <w:sz w:val="20"/>
          <w:szCs w:val="20"/>
        </w:rPr>
        <w:tab/>
        <w:t>C</w:t>
      </w:r>
      <w:r w:rsidR="000C2609" w:rsidRPr="000C2609">
        <w:rPr>
          <w:rFonts w:ascii="Calibri" w:hAnsi="Calibri" w:cs="Arial"/>
          <w:sz w:val="20"/>
          <w:szCs w:val="20"/>
        </w:rPr>
        <w:t>omposition du dossier de souscription qui doit être remis à tout souscripteur ;</w:t>
      </w:r>
    </w:p>
    <w:p w:rsidR="000C2609" w:rsidRPr="000C2609" w:rsidRDefault="008E7378" w:rsidP="000C2609">
      <w:pPr>
        <w:tabs>
          <w:tab w:val="num" w:pos="709"/>
        </w:tabs>
        <w:ind w:left="709" w:hanging="349"/>
        <w:jc w:val="both"/>
        <w:rPr>
          <w:rFonts w:ascii="Calibri" w:hAnsi="Calibri" w:cs="Arial"/>
          <w:sz w:val="20"/>
          <w:szCs w:val="20"/>
        </w:rPr>
      </w:pPr>
      <w:r>
        <w:rPr>
          <w:rFonts w:ascii="Calibri" w:hAnsi="Calibri" w:cs="Arial"/>
          <w:sz w:val="20"/>
          <w:szCs w:val="20"/>
        </w:rPr>
        <w:t>-</w:t>
      </w:r>
      <w:r>
        <w:rPr>
          <w:rFonts w:ascii="Calibri" w:hAnsi="Calibri" w:cs="Arial"/>
          <w:sz w:val="20"/>
          <w:szCs w:val="20"/>
        </w:rPr>
        <w:tab/>
        <w:t>M</w:t>
      </w:r>
      <w:r w:rsidR="000C2609" w:rsidRPr="000C2609">
        <w:rPr>
          <w:rFonts w:ascii="Calibri" w:hAnsi="Calibri" w:cs="Arial"/>
          <w:sz w:val="20"/>
          <w:szCs w:val="20"/>
        </w:rPr>
        <w:t>odalités de versement du montant des souscriptions ;</w:t>
      </w:r>
    </w:p>
    <w:p w:rsidR="000C2609" w:rsidRPr="000C2609" w:rsidRDefault="008E7378" w:rsidP="000C2609">
      <w:pPr>
        <w:tabs>
          <w:tab w:val="num" w:pos="709"/>
        </w:tabs>
        <w:ind w:left="709" w:hanging="349"/>
        <w:jc w:val="both"/>
        <w:rPr>
          <w:rFonts w:ascii="Calibri" w:hAnsi="Calibri" w:cs="Arial"/>
          <w:sz w:val="20"/>
          <w:szCs w:val="20"/>
        </w:rPr>
      </w:pPr>
      <w:r>
        <w:rPr>
          <w:rFonts w:ascii="Calibri" w:hAnsi="Calibri" w:cs="Arial"/>
          <w:sz w:val="20"/>
          <w:szCs w:val="20"/>
        </w:rPr>
        <w:t>-</w:t>
      </w:r>
      <w:r>
        <w:rPr>
          <w:rFonts w:ascii="Calibri" w:hAnsi="Calibri" w:cs="Arial"/>
          <w:sz w:val="20"/>
          <w:szCs w:val="20"/>
        </w:rPr>
        <w:tab/>
        <w:t>P</w:t>
      </w:r>
      <w:r w:rsidR="000C2609" w:rsidRPr="000C2609">
        <w:rPr>
          <w:rFonts w:ascii="Calibri" w:hAnsi="Calibri" w:cs="Arial"/>
          <w:sz w:val="20"/>
          <w:szCs w:val="20"/>
        </w:rPr>
        <w:t>arts sociales :</w:t>
      </w:r>
    </w:p>
    <w:p w:rsidR="000C2609" w:rsidRPr="000C2609" w:rsidRDefault="000C2609" w:rsidP="000C2609">
      <w:pPr>
        <w:numPr>
          <w:ilvl w:val="0"/>
          <w:numId w:val="35"/>
        </w:numPr>
        <w:jc w:val="both"/>
        <w:rPr>
          <w:rFonts w:ascii="Calibri" w:hAnsi="Calibri" w:cs="Arial"/>
          <w:sz w:val="20"/>
          <w:szCs w:val="20"/>
        </w:rPr>
      </w:pPr>
      <w:r w:rsidRPr="000C2609">
        <w:rPr>
          <w:rFonts w:ascii="Calibri" w:hAnsi="Calibri" w:cs="Arial"/>
          <w:sz w:val="20"/>
          <w:szCs w:val="20"/>
        </w:rPr>
        <w:t>valeur nominale ;</w:t>
      </w:r>
    </w:p>
    <w:p w:rsidR="000C2609" w:rsidRPr="000C2609" w:rsidRDefault="008E7378" w:rsidP="000C2609">
      <w:pPr>
        <w:numPr>
          <w:ilvl w:val="0"/>
          <w:numId w:val="35"/>
        </w:numPr>
        <w:jc w:val="both"/>
        <w:rPr>
          <w:rFonts w:ascii="Calibri" w:hAnsi="Calibri" w:cs="Arial"/>
          <w:sz w:val="20"/>
          <w:szCs w:val="20"/>
        </w:rPr>
      </w:pPr>
      <w:r>
        <w:rPr>
          <w:rFonts w:ascii="Calibri" w:hAnsi="Calibri" w:cs="Arial"/>
          <w:sz w:val="20"/>
          <w:szCs w:val="20"/>
        </w:rPr>
        <w:t>forme des parts</w:t>
      </w:r>
      <w:r w:rsidR="00A46456">
        <w:rPr>
          <w:rFonts w:ascii="Calibri" w:hAnsi="Calibri" w:cs="Arial"/>
          <w:sz w:val="20"/>
          <w:szCs w:val="20"/>
        </w:rPr>
        <w:t>.</w:t>
      </w:r>
    </w:p>
    <w:p w:rsidR="000C2609" w:rsidRPr="000C2609" w:rsidRDefault="008E7378" w:rsidP="000C2609">
      <w:pPr>
        <w:tabs>
          <w:tab w:val="num" w:pos="709"/>
        </w:tabs>
        <w:ind w:left="709" w:hanging="349"/>
        <w:jc w:val="both"/>
        <w:rPr>
          <w:rFonts w:ascii="Calibri" w:hAnsi="Calibri" w:cs="Arial"/>
          <w:sz w:val="20"/>
          <w:szCs w:val="20"/>
        </w:rPr>
      </w:pPr>
      <w:r>
        <w:rPr>
          <w:rFonts w:ascii="Calibri" w:hAnsi="Calibri" w:cs="Arial"/>
          <w:sz w:val="20"/>
          <w:szCs w:val="20"/>
        </w:rPr>
        <w:t>-</w:t>
      </w:r>
      <w:r>
        <w:rPr>
          <w:rFonts w:ascii="Calibri" w:hAnsi="Calibri" w:cs="Arial"/>
          <w:sz w:val="20"/>
          <w:szCs w:val="20"/>
        </w:rPr>
        <w:tab/>
        <w:t>N</w:t>
      </w:r>
      <w:r w:rsidR="000C2609" w:rsidRPr="000C2609">
        <w:rPr>
          <w:rFonts w:ascii="Calibri" w:hAnsi="Calibri" w:cs="Arial"/>
          <w:sz w:val="20"/>
          <w:szCs w:val="20"/>
        </w:rPr>
        <w:t>ombre minimum de parts à souscrire ;</w:t>
      </w:r>
    </w:p>
    <w:p w:rsidR="000C2609" w:rsidRPr="000C2609" w:rsidRDefault="008E7378" w:rsidP="000C2609">
      <w:pPr>
        <w:tabs>
          <w:tab w:val="num" w:pos="709"/>
        </w:tabs>
        <w:ind w:left="709" w:hanging="349"/>
        <w:jc w:val="both"/>
        <w:rPr>
          <w:rFonts w:ascii="Calibri" w:hAnsi="Calibri" w:cs="Arial"/>
          <w:sz w:val="20"/>
          <w:szCs w:val="20"/>
        </w:rPr>
      </w:pPr>
      <w:r>
        <w:rPr>
          <w:rFonts w:ascii="Calibri" w:hAnsi="Calibri" w:cs="Arial"/>
          <w:sz w:val="20"/>
          <w:szCs w:val="20"/>
        </w:rPr>
        <w:t>-</w:t>
      </w:r>
      <w:r>
        <w:rPr>
          <w:rFonts w:ascii="Calibri" w:hAnsi="Calibri" w:cs="Arial"/>
          <w:sz w:val="20"/>
          <w:szCs w:val="20"/>
        </w:rPr>
        <w:tab/>
        <w:t>L</w:t>
      </w:r>
      <w:r w:rsidR="000C2609" w:rsidRPr="000C2609">
        <w:rPr>
          <w:rFonts w:ascii="Calibri" w:hAnsi="Calibri" w:cs="Arial"/>
          <w:sz w:val="20"/>
          <w:szCs w:val="20"/>
        </w:rPr>
        <w:t>ieux de souscription et de versement ;</w:t>
      </w:r>
    </w:p>
    <w:p w:rsidR="000C2609" w:rsidRPr="000C2609" w:rsidRDefault="008E7378" w:rsidP="000C2609">
      <w:pPr>
        <w:tabs>
          <w:tab w:val="num" w:pos="709"/>
        </w:tabs>
        <w:ind w:left="709" w:hanging="349"/>
        <w:jc w:val="both"/>
        <w:rPr>
          <w:rFonts w:ascii="Calibri" w:hAnsi="Calibri" w:cs="Arial"/>
          <w:sz w:val="20"/>
          <w:szCs w:val="20"/>
        </w:rPr>
      </w:pPr>
      <w:r>
        <w:rPr>
          <w:rFonts w:ascii="Calibri" w:hAnsi="Calibri" w:cs="Arial"/>
          <w:sz w:val="20"/>
          <w:szCs w:val="20"/>
        </w:rPr>
        <w:t>-</w:t>
      </w:r>
      <w:r>
        <w:rPr>
          <w:rFonts w:ascii="Calibri" w:hAnsi="Calibri" w:cs="Arial"/>
          <w:sz w:val="20"/>
          <w:szCs w:val="20"/>
        </w:rPr>
        <w:tab/>
        <w:t>J</w:t>
      </w:r>
      <w:r w:rsidR="000C2609" w:rsidRPr="000C2609">
        <w:rPr>
          <w:rFonts w:ascii="Calibri" w:hAnsi="Calibri" w:cs="Arial"/>
          <w:sz w:val="20"/>
          <w:szCs w:val="20"/>
        </w:rPr>
        <w:t>ouissance des parts ;</w:t>
      </w:r>
    </w:p>
    <w:p w:rsidR="000C2609" w:rsidRDefault="008E7378"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D</w:t>
      </w:r>
      <w:r w:rsidR="000C2609" w:rsidRPr="000C2609">
        <w:rPr>
          <w:rFonts w:ascii="Calibri" w:hAnsi="Calibri" w:cs="Arial"/>
          <w:sz w:val="20"/>
          <w:szCs w:val="20"/>
        </w:rPr>
        <w:t>étail des conditions de la première souscription ouverte au public (mention de la garantie bancaire et de ses conditions de mise en jeu) ;</w:t>
      </w:r>
    </w:p>
    <w:p w:rsidR="000C2609" w:rsidRPr="000C2609" w:rsidRDefault="008E7378"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U</w:t>
      </w:r>
      <w:r w:rsidR="000C2609" w:rsidRPr="000C2609">
        <w:rPr>
          <w:rFonts w:ascii="Calibri" w:hAnsi="Calibri" w:cs="Arial"/>
          <w:sz w:val="20"/>
          <w:szCs w:val="20"/>
        </w:rPr>
        <w:t>ne description de la manière dont la société de gestion garantit un traitement équitable des investisseurs et, dès lors qu’un investisseur bénéficie d’un traitement préférentiel ou du droit de bénéficier d’un traitement préférentiel, une description de ce traitement préférentiel, le type d’investisseurs qui bénéficient de ce traitement préférentiel, et, le cas échéant, l’indication de leurs liens juridiques ou économiques avec le GFI.</w:t>
      </w: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b/>
          <w:bCs/>
          <w:sz w:val="20"/>
          <w:szCs w:val="20"/>
        </w:rPr>
      </w:pPr>
      <w:r w:rsidRPr="000C2609">
        <w:rPr>
          <w:rFonts w:ascii="Calibri" w:hAnsi="Calibri" w:cs="Arial"/>
          <w:b/>
          <w:bCs/>
          <w:sz w:val="20"/>
          <w:szCs w:val="20"/>
        </w:rPr>
        <w:t>Chapitre II - Modalités de sortie</w:t>
      </w:r>
    </w:p>
    <w:p w:rsidR="000C2609" w:rsidRPr="000C2609" w:rsidRDefault="000C2609" w:rsidP="000C2609">
      <w:pPr>
        <w:jc w:val="both"/>
        <w:rPr>
          <w:rFonts w:ascii="Calibri" w:hAnsi="Calibri" w:cs="Arial"/>
          <w:b/>
          <w:bCs/>
          <w:sz w:val="20"/>
          <w:szCs w:val="20"/>
        </w:rPr>
      </w:pP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sidRPr="000C2609">
        <w:rPr>
          <w:rFonts w:ascii="Calibri" w:hAnsi="Calibri" w:cs="Arial"/>
          <w:sz w:val="20"/>
          <w:szCs w:val="20"/>
        </w:rPr>
        <w:t>Dispositions générales aux cessions :</w:t>
      </w:r>
    </w:p>
    <w:p w:rsidR="000C2609" w:rsidRPr="000C2609" w:rsidRDefault="000C2609" w:rsidP="000C2609">
      <w:pPr>
        <w:numPr>
          <w:ilvl w:val="0"/>
          <w:numId w:val="35"/>
        </w:numPr>
        <w:jc w:val="both"/>
        <w:rPr>
          <w:rFonts w:ascii="Calibri" w:hAnsi="Calibri" w:cs="Arial"/>
          <w:sz w:val="20"/>
          <w:szCs w:val="20"/>
        </w:rPr>
      </w:pPr>
      <w:r w:rsidRPr="000C2609">
        <w:rPr>
          <w:rFonts w:ascii="Calibri" w:hAnsi="Calibri" w:cs="Arial"/>
          <w:sz w:val="20"/>
          <w:szCs w:val="20"/>
        </w:rPr>
        <w:t>registre des transferts ;</w:t>
      </w:r>
    </w:p>
    <w:p w:rsidR="000C2609" w:rsidRPr="000C2609" w:rsidRDefault="000C2609" w:rsidP="000C2609">
      <w:pPr>
        <w:numPr>
          <w:ilvl w:val="0"/>
          <w:numId w:val="35"/>
        </w:numPr>
        <w:jc w:val="both"/>
        <w:rPr>
          <w:rFonts w:ascii="Calibri" w:hAnsi="Calibri" w:cs="Arial"/>
          <w:sz w:val="20"/>
          <w:szCs w:val="20"/>
        </w:rPr>
      </w:pPr>
      <w:r w:rsidRPr="000C2609">
        <w:rPr>
          <w:rFonts w:ascii="Calibri" w:hAnsi="Calibri" w:cs="Arial"/>
          <w:sz w:val="20"/>
          <w:szCs w:val="20"/>
        </w:rPr>
        <w:t>pièces à envoyer à la société ;</w:t>
      </w:r>
    </w:p>
    <w:p w:rsidR="000C2609" w:rsidRPr="000C2609" w:rsidRDefault="000C2609" w:rsidP="000C2609">
      <w:pPr>
        <w:numPr>
          <w:ilvl w:val="0"/>
          <w:numId w:val="35"/>
        </w:numPr>
        <w:jc w:val="both"/>
        <w:rPr>
          <w:rFonts w:ascii="Calibri" w:hAnsi="Calibri" w:cs="Arial"/>
          <w:sz w:val="20"/>
          <w:szCs w:val="20"/>
        </w:rPr>
      </w:pPr>
      <w:r w:rsidRPr="000C2609">
        <w:rPr>
          <w:rFonts w:ascii="Calibri" w:hAnsi="Calibri" w:cs="Arial"/>
          <w:sz w:val="20"/>
          <w:szCs w:val="20"/>
        </w:rPr>
        <w:t>date à partir de laquelle les parts cédées ou retirées cessent de participer aux distributions de revenus ;</w:t>
      </w:r>
    </w:p>
    <w:p w:rsidR="000C2609" w:rsidRPr="000C2609" w:rsidRDefault="000C2609" w:rsidP="000C2609">
      <w:pPr>
        <w:numPr>
          <w:ilvl w:val="0"/>
          <w:numId w:val="35"/>
        </w:numPr>
        <w:jc w:val="both"/>
        <w:rPr>
          <w:rFonts w:ascii="Calibri" w:hAnsi="Calibri" w:cs="Arial"/>
          <w:sz w:val="20"/>
          <w:szCs w:val="20"/>
        </w:rPr>
      </w:pPr>
      <w:r w:rsidRPr="000C2609">
        <w:rPr>
          <w:rFonts w:ascii="Calibri" w:hAnsi="Calibri" w:cs="Arial"/>
          <w:sz w:val="20"/>
          <w:szCs w:val="20"/>
        </w:rPr>
        <w:t>indication que la société ne garantit pas la revente des parts ;</w:t>
      </w:r>
    </w:p>
    <w:p w:rsidR="000C2609" w:rsidRPr="000C2609" w:rsidRDefault="000C2609" w:rsidP="000C2609">
      <w:pPr>
        <w:numPr>
          <w:ilvl w:val="0"/>
          <w:numId w:val="35"/>
        </w:numPr>
        <w:jc w:val="both"/>
        <w:rPr>
          <w:rFonts w:ascii="Calibri" w:hAnsi="Calibri" w:cs="Arial"/>
          <w:sz w:val="20"/>
          <w:szCs w:val="20"/>
        </w:rPr>
      </w:pPr>
      <w:r w:rsidRPr="000C2609">
        <w:rPr>
          <w:rFonts w:ascii="Calibri" w:hAnsi="Calibri" w:cs="Arial"/>
          <w:sz w:val="20"/>
          <w:szCs w:val="20"/>
        </w:rPr>
        <w:t>droit d'enregistrement ;</w:t>
      </w:r>
    </w:p>
    <w:p w:rsidR="000C2609" w:rsidRPr="000C2609" w:rsidRDefault="000C2609" w:rsidP="000C2609">
      <w:pPr>
        <w:numPr>
          <w:ilvl w:val="0"/>
          <w:numId w:val="35"/>
        </w:numPr>
        <w:jc w:val="both"/>
        <w:rPr>
          <w:rFonts w:ascii="Calibri" w:hAnsi="Calibri" w:cs="Arial"/>
          <w:sz w:val="20"/>
          <w:szCs w:val="20"/>
        </w:rPr>
      </w:pPr>
      <w:r w:rsidRPr="000C2609">
        <w:rPr>
          <w:rFonts w:ascii="Calibri" w:hAnsi="Calibri" w:cs="Arial"/>
          <w:sz w:val="20"/>
          <w:szCs w:val="20"/>
        </w:rPr>
        <w:t>délai de versement des fonds.</w:t>
      </w: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sidRPr="000C2609">
        <w:rPr>
          <w:rFonts w:ascii="Calibri" w:hAnsi="Calibri" w:cs="Arial"/>
          <w:sz w:val="20"/>
          <w:szCs w:val="20"/>
        </w:rPr>
        <w:t>Registre des ordres de vente :</w:t>
      </w:r>
    </w:p>
    <w:p w:rsidR="000C2609" w:rsidRPr="000C2609" w:rsidRDefault="000C2609" w:rsidP="000C2609">
      <w:pPr>
        <w:numPr>
          <w:ilvl w:val="0"/>
          <w:numId w:val="35"/>
        </w:numPr>
        <w:jc w:val="both"/>
        <w:rPr>
          <w:rFonts w:ascii="Calibri" w:hAnsi="Calibri" w:cs="Arial"/>
          <w:sz w:val="20"/>
          <w:szCs w:val="20"/>
        </w:rPr>
      </w:pPr>
      <w:r w:rsidRPr="000C2609">
        <w:rPr>
          <w:rFonts w:ascii="Calibri" w:hAnsi="Calibri" w:cs="Arial"/>
          <w:sz w:val="20"/>
          <w:szCs w:val="20"/>
        </w:rPr>
        <w:t>périodicité des prix d’exécution ;</w:t>
      </w:r>
    </w:p>
    <w:p w:rsidR="000C2609" w:rsidRPr="000C2609" w:rsidRDefault="000C2609" w:rsidP="000C2609">
      <w:pPr>
        <w:numPr>
          <w:ilvl w:val="0"/>
          <w:numId w:val="35"/>
        </w:numPr>
        <w:jc w:val="both"/>
        <w:rPr>
          <w:rFonts w:ascii="Calibri" w:hAnsi="Calibri" w:cs="Arial"/>
          <w:sz w:val="20"/>
          <w:szCs w:val="20"/>
        </w:rPr>
      </w:pPr>
      <w:r w:rsidRPr="000C2609">
        <w:rPr>
          <w:rFonts w:ascii="Calibri" w:hAnsi="Calibri" w:cs="Arial"/>
          <w:sz w:val="20"/>
          <w:szCs w:val="20"/>
        </w:rPr>
        <w:t>mode de transmission des ordres ;</w:t>
      </w:r>
    </w:p>
    <w:p w:rsidR="000C2609" w:rsidRPr="000C2609" w:rsidRDefault="000C2609" w:rsidP="000C2609">
      <w:pPr>
        <w:numPr>
          <w:ilvl w:val="0"/>
          <w:numId w:val="35"/>
        </w:numPr>
        <w:jc w:val="both"/>
        <w:rPr>
          <w:rFonts w:ascii="Calibri" w:hAnsi="Calibri" w:cs="Arial"/>
          <w:sz w:val="20"/>
          <w:szCs w:val="20"/>
        </w:rPr>
      </w:pPr>
      <w:r w:rsidRPr="000C2609">
        <w:rPr>
          <w:rFonts w:ascii="Calibri" w:hAnsi="Calibri" w:cs="Arial"/>
          <w:sz w:val="20"/>
          <w:szCs w:val="20"/>
        </w:rPr>
        <w:t>couverture des ordres ;</w:t>
      </w:r>
    </w:p>
    <w:p w:rsidR="000C2609" w:rsidRPr="000C2609" w:rsidRDefault="000C2609" w:rsidP="000C2609">
      <w:pPr>
        <w:numPr>
          <w:ilvl w:val="0"/>
          <w:numId w:val="35"/>
        </w:numPr>
        <w:jc w:val="both"/>
        <w:rPr>
          <w:rFonts w:ascii="Calibri" w:hAnsi="Calibri" w:cs="Arial"/>
          <w:sz w:val="20"/>
          <w:szCs w:val="20"/>
        </w:rPr>
      </w:pPr>
      <w:r w:rsidRPr="000C2609">
        <w:rPr>
          <w:rFonts w:ascii="Calibri" w:hAnsi="Calibri" w:cs="Arial"/>
          <w:sz w:val="20"/>
          <w:szCs w:val="20"/>
        </w:rPr>
        <w:t>blocage du marché des parts.</w:t>
      </w: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sidRPr="000C2609">
        <w:rPr>
          <w:rFonts w:ascii="Calibri" w:hAnsi="Calibri" w:cs="Arial"/>
          <w:sz w:val="20"/>
          <w:szCs w:val="20"/>
        </w:rPr>
        <w:t>Retrait des associés :</w:t>
      </w:r>
    </w:p>
    <w:p w:rsidR="000C2609" w:rsidRPr="000C2609" w:rsidRDefault="000C2609" w:rsidP="000C2609">
      <w:pPr>
        <w:numPr>
          <w:ilvl w:val="0"/>
          <w:numId w:val="35"/>
        </w:numPr>
        <w:jc w:val="both"/>
        <w:rPr>
          <w:rFonts w:ascii="Calibri" w:hAnsi="Calibri" w:cs="Arial"/>
          <w:sz w:val="20"/>
          <w:szCs w:val="20"/>
        </w:rPr>
      </w:pPr>
      <w:r w:rsidRPr="000C2609">
        <w:rPr>
          <w:rFonts w:ascii="Calibri" w:hAnsi="Calibri" w:cs="Arial"/>
          <w:sz w:val="20"/>
          <w:szCs w:val="20"/>
        </w:rPr>
        <w:t>description de la gestion du risque de liquidité du GFI, y compris les droits au remboursement dans des circonstances à la fois normales et exceptionnelles, et les modalités existantes de remboursement avec les investisseurs et effets du retrait ;</w:t>
      </w:r>
    </w:p>
    <w:p w:rsidR="000C2609" w:rsidRPr="000C2609" w:rsidRDefault="000C2609" w:rsidP="000C2609">
      <w:pPr>
        <w:numPr>
          <w:ilvl w:val="0"/>
          <w:numId w:val="35"/>
        </w:numPr>
        <w:jc w:val="both"/>
        <w:rPr>
          <w:rFonts w:ascii="Calibri" w:hAnsi="Calibri" w:cs="Arial"/>
          <w:sz w:val="20"/>
          <w:szCs w:val="20"/>
        </w:rPr>
      </w:pPr>
      <w:r w:rsidRPr="000C2609">
        <w:rPr>
          <w:rFonts w:ascii="Calibri" w:hAnsi="Calibri" w:cs="Arial"/>
          <w:sz w:val="20"/>
          <w:szCs w:val="20"/>
        </w:rPr>
        <w:t>prix ;</w:t>
      </w: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B</w:t>
      </w:r>
      <w:r w:rsidRPr="000C2609">
        <w:rPr>
          <w:rFonts w:ascii="Calibri" w:hAnsi="Calibri" w:cs="Arial"/>
          <w:sz w:val="20"/>
          <w:szCs w:val="20"/>
        </w:rPr>
        <w:t>locage des retraits.</w:t>
      </w: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b/>
          <w:bCs/>
          <w:sz w:val="20"/>
          <w:szCs w:val="20"/>
        </w:rPr>
      </w:pPr>
      <w:r w:rsidRPr="000C2609">
        <w:rPr>
          <w:rFonts w:ascii="Calibri" w:hAnsi="Calibri" w:cs="Arial"/>
          <w:b/>
          <w:bCs/>
          <w:sz w:val="20"/>
          <w:szCs w:val="20"/>
        </w:rPr>
        <w:t xml:space="preserve">Chapitre III - Frais </w:t>
      </w:r>
    </w:p>
    <w:p w:rsidR="000C2609" w:rsidRPr="000C2609" w:rsidRDefault="000C2609" w:rsidP="000C2609">
      <w:pPr>
        <w:jc w:val="both"/>
        <w:rPr>
          <w:rFonts w:ascii="Calibri" w:hAnsi="Calibri" w:cs="Arial"/>
          <w:b/>
          <w:bCs/>
          <w:sz w:val="20"/>
          <w:szCs w:val="20"/>
        </w:rPr>
      </w:pPr>
    </w:p>
    <w:p w:rsidR="000C2609" w:rsidRPr="000C2609" w:rsidRDefault="000C2609" w:rsidP="000C2609">
      <w:pPr>
        <w:jc w:val="both"/>
        <w:rPr>
          <w:rFonts w:ascii="Calibri" w:hAnsi="Calibri" w:cs="Arial"/>
          <w:sz w:val="20"/>
          <w:szCs w:val="20"/>
        </w:rPr>
      </w:pPr>
      <w:r w:rsidRPr="000C2609">
        <w:rPr>
          <w:rFonts w:ascii="Calibri" w:hAnsi="Calibri" w:cs="Arial"/>
          <w:sz w:val="20"/>
          <w:szCs w:val="20"/>
        </w:rPr>
        <w:t>(</w:t>
      </w:r>
      <w:proofErr w:type="gramStart"/>
      <w:r w:rsidRPr="000C2609">
        <w:rPr>
          <w:rFonts w:ascii="Calibri" w:hAnsi="Calibri" w:cs="Arial"/>
          <w:i/>
          <w:sz w:val="20"/>
          <w:szCs w:val="20"/>
        </w:rPr>
        <w:t>à</w:t>
      </w:r>
      <w:proofErr w:type="gramEnd"/>
      <w:r w:rsidRPr="000C2609">
        <w:rPr>
          <w:rFonts w:ascii="Calibri" w:hAnsi="Calibri" w:cs="Arial"/>
          <w:i/>
          <w:sz w:val="20"/>
          <w:szCs w:val="20"/>
        </w:rPr>
        <w:t xml:space="preserve"> compléter</w:t>
      </w:r>
      <w:r w:rsidRPr="000C2609">
        <w:rPr>
          <w:rFonts w:ascii="Calibri" w:hAnsi="Calibri" w:cs="Arial"/>
          <w:sz w:val="20"/>
          <w:szCs w:val="20"/>
        </w:rPr>
        <w:t>)</w:t>
      </w:r>
    </w:p>
    <w:p w:rsidR="000C2609" w:rsidRPr="000C2609" w:rsidRDefault="000C2609" w:rsidP="000C2609">
      <w:pPr>
        <w:jc w:val="both"/>
        <w:rPr>
          <w:rFonts w:ascii="Calibri" w:hAnsi="Calibri" w:cs="Arial"/>
          <w:sz w:val="20"/>
          <w:szCs w:val="20"/>
        </w:rPr>
      </w:pPr>
      <w:r w:rsidRPr="000C2609">
        <w:rPr>
          <w:rFonts w:ascii="Calibri" w:hAnsi="Calibri" w:cs="Arial"/>
          <w:sz w:val="20"/>
          <w:szCs w:val="20"/>
        </w:rPr>
        <w:t>Les taux, bases de calcul ou montants forfaitaires sont clairement précisés.</w:t>
      </w: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sz w:val="20"/>
          <w:szCs w:val="20"/>
        </w:rPr>
      </w:pPr>
      <w:r w:rsidRPr="000C2609">
        <w:rPr>
          <w:rFonts w:ascii="Calibri" w:hAnsi="Calibri" w:cs="Arial"/>
          <w:sz w:val="20"/>
          <w:szCs w:val="20"/>
        </w:rPr>
        <w:t>La société de gestion est rémunérée par les commissions suivantes, dans les conditions de l’article 422-249-2 du règlement général de l’AMF :</w:t>
      </w: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sidRPr="000C2609">
        <w:rPr>
          <w:rFonts w:ascii="Calibri" w:hAnsi="Calibri" w:cs="Arial"/>
          <w:sz w:val="20"/>
          <w:szCs w:val="20"/>
        </w:rPr>
        <w:t>une commission de souscription ;</w:t>
      </w: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sidRPr="000C2609">
        <w:rPr>
          <w:rFonts w:ascii="Calibri" w:hAnsi="Calibri" w:cs="Arial"/>
          <w:sz w:val="20"/>
          <w:szCs w:val="20"/>
        </w:rPr>
        <w:t>une commission de cession ou de retrait;</w:t>
      </w: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sidRPr="000C2609">
        <w:rPr>
          <w:rFonts w:ascii="Calibri" w:hAnsi="Calibri" w:cs="Arial"/>
          <w:sz w:val="20"/>
          <w:szCs w:val="20"/>
        </w:rPr>
        <w:t>une commission de gestion;</w:t>
      </w: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sidRPr="000C2609">
        <w:rPr>
          <w:rFonts w:ascii="Calibri" w:hAnsi="Calibri" w:cs="Arial"/>
          <w:sz w:val="20"/>
          <w:szCs w:val="20"/>
        </w:rPr>
        <w:t>une commission d’acquisition ou de cession du bien forestier ;</w:t>
      </w: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sidRPr="000C2609">
        <w:rPr>
          <w:rFonts w:ascii="Calibri" w:hAnsi="Calibri" w:cs="Arial"/>
          <w:sz w:val="20"/>
          <w:szCs w:val="20"/>
        </w:rPr>
        <w:lastRenderedPageBreak/>
        <w:t>une commission de suivi et de pilotage de la réalisation des travaux ou coupes de bois sur le patrimoine forestier.</w:t>
      </w: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Sont couverts par la commission de gestion les frais :</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1. De gestion administrative et comptable ;</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2. De suivi et de gestion des évaluations ;</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3. De gestion du registre prévu par l'article L. 214-93 du code monétaire et financier ;</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4. D'information des associés : établissement des rapports annuels et bulletins d'information ;</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5. D'organisation des assemblées générales et des réunions du conseil de surveillance ;</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6. De détermination des objectifs assignés aux forêts ;</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7. D’établissement et de suivi des budgets annuels d’exploitation des forêts ;</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8. De gestion des liquidités et valeurs assimilées.</w:t>
      </w:r>
    </w:p>
    <w:p w:rsidR="000C2609" w:rsidRPr="000C2609" w:rsidRDefault="000C2609" w:rsidP="000C2609">
      <w:pPr>
        <w:jc w:val="both"/>
        <w:rPr>
          <w:rFonts w:ascii="Calibri" w:hAnsi="Calibri" w:cs="Arial"/>
          <w:b/>
          <w:iCs/>
          <w:sz w:val="20"/>
          <w:szCs w:val="20"/>
          <w:u w:val="single"/>
        </w:rPr>
      </w:pPr>
    </w:p>
    <w:p w:rsidR="000C2609" w:rsidRPr="000C2609" w:rsidRDefault="000C2609" w:rsidP="000C2609">
      <w:pPr>
        <w:jc w:val="both"/>
        <w:rPr>
          <w:rFonts w:ascii="Calibri" w:hAnsi="Calibri" w:cs="Arial"/>
          <w:sz w:val="20"/>
          <w:szCs w:val="20"/>
        </w:rPr>
      </w:pPr>
      <w:r w:rsidRPr="000C2609">
        <w:rPr>
          <w:rFonts w:ascii="Calibri" w:hAnsi="Calibri" w:cs="Arial"/>
          <w:sz w:val="20"/>
          <w:szCs w:val="20"/>
        </w:rPr>
        <w:t>S’agissant de la commission de gestion, le taux maximum est indiqué ainsi que sa composition par catégorie d’actifs (biens forestiers, liquidités et valeurs assimilées), de même que les modalités de calcul (bases, taux, coût moyen) des montants qui seront effectivement dus à la société de gestion pour chaque type de prestation réalisée sur les biens forestiers détenus. Une liste exhaustive des prestations couvertes par cette commission est prévue.</w:t>
      </w:r>
    </w:p>
    <w:p w:rsidR="000C2609" w:rsidRPr="000C2609" w:rsidRDefault="000C2609" w:rsidP="000C2609">
      <w:pPr>
        <w:jc w:val="both"/>
        <w:rPr>
          <w:rFonts w:ascii="Calibri" w:hAnsi="Calibri" w:cs="Arial"/>
          <w:iCs/>
          <w:sz w:val="20"/>
          <w:szCs w:val="20"/>
          <w:u w:val="single"/>
        </w:rPr>
      </w:pP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Sont exclus de la commission de gestion les frais ou coûts :</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1. D'établissement des plans simples de gestion relatifs aux biens forestiers détenus ;</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2. D'organisation et de suivi de l’exploitation des biens forestiers détenus (coupes de bois, travaux forestiers et aménagement) ;</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3. De négociation et de suivi des opérations d'échange, aliénations et constitutions de droits réels prévues par l'article R. 214-164 du code monétaire et financier ;</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4. D’honoraires des experts forestiers dans le cadre des missions d'expertises forestières prévues par les articles 422-246 et suivants, des commissaires aux comptes, du dépositaire ;</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5. D'exploitation des bois et forêts, et notamment des travaux de reconstitution, d'entretien des forêts, d’infrastructures et de coupes des bois ;</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6. D'organisation et de gestion des modes d'exploitation accessoires du domaine forestier, et notamment des locations de chasses ;</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7. D’assurance et d’éco-certification.</w:t>
      </w:r>
    </w:p>
    <w:p w:rsidR="000C2609" w:rsidRPr="000C2609" w:rsidRDefault="000C2609" w:rsidP="000C2609">
      <w:pPr>
        <w:jc w:val="both"/>
        <w:rPr>
          <w:rFonts w:ascii="Calibri" w:hAnsi="Calibri" w:cs="Arial"/>
          <w:iCs/>
          <w:sz w:val="20"/>
          <w:szCs w:val="20"/>
        </w:rPr>
      </w:pPr>
      <w:r w:rsidRPr="000C2609">
        <w:rPr>
          <w:rFonts w:ascii="Calibri" w:hAnsi="Calibri" w:cs="Arial"/>
          <w:iCs/>
          <w:sz w:val="20"/>
          <w:szCs w:val="20"/>
        </w:rPr>
        <w:t>Les frais et coûts qui sont exclus de la commission de gestion doivent être indiqués à l’investisseur de manière transparente.</w:t>
      </w: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sz w:val="20"/>
          <w:szCs w:val="20"/>
        </w:rPr>
      </w:pPr>
      <w:r w:rsidRPr="000C2609">
        <w:rPr>
          <w:rFonts w:ascii="Calibri" w:hAnsi="Calibri" w:cs="Arial"/>
          <w:sz w:val="20"/>
          <w:szCs w:val="20"/>
        </w:rPr>
        <w:t>Toute autre rémunération ne peut être qu'exceptionnelle et doit être soumise à la ratification de l'assemblée générale ordinaire.</w:t>
      </w: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b/>
          <w:bCs/>
          <w:sz w:val="20"/>
          <w:szCs w:val="20"/>
        </w:rPr>
      </w:pPr>
      <w:r w:rsidRPr="000C2609">
        <w:rPr>
          <w:rFonts w:ascii="Calibri" w:hAnsi="Calibri" w:cs="Arial"/>
          <w:b/>
          <w:bCs/>
          <w:sz w:val="20"/>
          <w:szCs w:val="20"/>
        </w:rPr>
        <w:t>Chapitre IV - Fonctionnement de la société</w:t>
      </w:r>
    </w:p>
    <w:p w:rsidR="000C2609" w:rsidRPr="000C2609" w:rsidRDefault="000C2609" w:rsidP="000C2609">
      <w:pPr>
        <w:jc w:val="both"/>
        <w:rPr>
          <w:rFonts w:ascii="Calibri" w:hAnsi="Calibri" w:cs="Arial"/>
          <w:b/>
          <w:bCs/>
          <w:sz w:val="20"/>
          <w:szCs w:val="20"/>
        </w:rPr>
      </w:pP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R</w:t>
      </w:r>
      <w:r w:rsidR="000C2609" w:rsidRPr="000C2609">
        <w:rPr>
          <w:rFonts w:ascii="Calibri" w:hAnsi="Calibri" w:cs="Arial"/>
          <w:sz w:val="20"/>
          <w:szCs w:val="20"/>
        </w:rPr>
        <w:t>égime des assemblées générales des associés ;</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D</w:t>
      </w:r>
      <w:r w:rsidR="000C2609" w:rsidRPr="000C2609">
        <w:rPr>
          <w:rFonts w:ascii="Calibri" w:hAnsi="Calibri" w:cs="Arial"/>
          <w:sz w:val="20"/>
          <w:szCs w:val="20"/>
        </w:rPr>
        <w:t>ispositions statutaires concernant la répartition des bénéfices ;</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C</w:t>
      </w:r>
      <w:r w:rsidR="000C2609" w:rsidRPr="000C2609">
        <w:rPr>
          <w:rFonts w:ascii="Calibri" w:hAnsi="Calibri" w:cs="Arial"/>
          <w:sz w:val="20"/>
          <w:szCs w:val="20"/>
        </w:rPr>
        <w:t>onventions particulières, engagement de faire expertiser préalablement à l'achat tout bien forestier dont le vendeur est lié directement ou indirectement à la gérance ;</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R</w:t>
      </w:r>
      <w:r w:rsidR="000C2609" w:rsidRPr="000C2609">
        <w:rPr>
          <w:rFonts w:ascii="Calibri" w:hAnsi="Calibri" w:cs="Arial"/>
          <w:sz w:val="20"/>
          <w:szCs w:val="20"/>
        </w:rPr>
        <w:t>égime fiscal :</w:t>
      </w:r>
    </w:p>
    <w:p w:rsidR="000C2609" w:rsidRPr="000C2609" w:rsidRDefault="000C2609" w:rsidP="000C2609">
      <w:pPr>
        <w:numPr>
          <w:ilvl w:val="0"/>
          <w:numId w:val="37"/>
        </w:numPr>
        <w:jc w:val="both"/>
        <w:rPr>
          <w:rFonts w:ascii="Calibri" w:hAnsi="Calibri" w:cs="Arial"/>
          <w:sz w:val="20"/>
          <w:szCs w:val="20"/>
        </w:rPr>
      </w:pPr>
      <w:r w:rsidRPr="000C2609">
        <w:rPr>
          <w:rFonts w:ascii="Calibri" w:hAnsi="Calibri" w:cs="Arial"/>
          <w:sz w:val="20"/>
          <w:szCs w:val="20"/>
        </w:rPr>
        <w:t xml:space="preserve">économie d’impôts et engagements afférents ; </w:t>
      </w:r>
    </w:p>
    <w:p w:rsidR="000C2609" w:rsidRPr="000C2609" w:rsidRDefault="000C2609" w:rsidP="000C2609">
      <w:pPr>
        <w:numPr>
          <w:ilvl w:val="0"/>
          <w:numId w:val="37"/>
        </w:numPr>
        <w:jc w:val="both"/>
        <w:rPr>
          <w:rFonts w:ascii="Calibri" w:hAnsi="Calibri" w:cs="Arial"/>
          <w:sz w:val="20"/>
          <w:szCs w:val="20"/>
        </w:rPr>
      </w:pPr>
      <w:r w:rsidRPr="000C2609">
        <w:rPr>
          <w:rFonts w:ascii="Calibri" w:hAnsi="Calibri" w:cs="Arial"/>
          <w:sz w:val="20"/>
          <w:szCs w:val="20"/>
        </w:rPr>
        <w:t>revenus ;</w:t>
      </w:r>
    </w:p>
    <w:p w:rsidR="000C2609" w:rsidRPr="000C2609" w:rsidRDefault="000C2609" w:rsidP="000C2609">
      <w:pPr>
        <w:numPr>
          <w:ilvl w:val="0"/>
          <w:numId w:val="37"/>
        </w:numPr>
        <w:jc w:val="both"/>
        <w:rPr>
          <w:rFonts w:ascii="Calibri" w:hAnsi="Calibri" w:cs="Arial"/>
          <w:sz w:val="20"/>
          <w:szCs w:val="20"/>
        </w:rPr>
      </w:pPr>
      <w:r w:rsidRPr="000C2609">
        <w:rPr>
          <w:rFonts w:ascii="Calibri" w:hAnsi="Calibri" w:cs="Arial"/>
          <w:sz w:val="20"/>
          <w:szCs w:val="20"/>
        </w:rPr>
        <w:t>plus-values ;</w:t>
      </w:r>
    </w:p>
    <w:p w:rsidR="000C2609" w:rsidRPr="000C2609" w:rsidRDefault="000C2609" w:rsidP="000C2609">
      <w:pPr>
        <w:numPr>
          <w:ilvl w:val="0"/>
          <w:numId w:val="37"/>
        </w:numPr>
        <w:jc w:val="both"/>
        <w:rPr>
          <w:rFonts w:ascii="Calibri" w:hAnsi="Calibri" w:cs="Arial"/>
          <w:sz w:val="20"/>
          <w:szCs w:val="20"/>
        </w:rPr>
      </w:pPr>
      <w:r w:rsidRPr="000C2609">
        <w:rPr>
          <w:rFonts w:ascii="Calibri" w:hAnsi="Calibri" w:cs="Arial"/>
          <w:sz w:val="20"/>
          <w:szCs w:val="20"/>
        </w:rPr>
        <w:t>mutations à titre gratuit.</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M</w:t>
      </w:r>
      <w:r w:rsidR="000C2609" w:rsidRPr="000C2609">
        <w:rPr>
          <w:rFonts w:ascii="Calibri" w:hAnsi="Calibri" w:cs="Arial"/>
          <w:sz w:val="20"/>
          <w:szCs w:val="20"/>
        </w:rPr>
        <w:t>odalités d’information :</w:t>
      </w:r>
    </w:p>
    <w:p w:rsidR="000C2609" w:rsidRPr="000C2609" w:rsidRDefault="000C2609" w:rsidP="000C2609">
      <w:pPr>
        <w:pStyle w:val="Paragraphedeliste"/>
        <w:numPr>
          <w:ilvl w:val="0"/>
          <w:numId w:val="39"/>
        </w:numPr>
        <w:jc w:val="both"/>
        <w:rPr>
          <w:rFonts w:ascii="Calibri" w:hAnsi="Calibri" w:cs="Arial"/>
          <w:sz w:val="20"/>
          <w:szCs w:val="20"/>
        </w:rPr>
      </w:pPr>
      <w:r w:rsidRPr="000C2609">
        <w:rPr>
          <w:rFonts w:ascii="Calibri" w:hAnsi="Calibri" w:cs="Arial"/>
          <w:sz w:val="20"/>
          <w:szCs w:val="20"/>
        </w:rPr>
        <w:t>le rapport annuel ;</w:t>
      </w:r>
    </w:p>
    <w:p w:rsidR="000C2609" w:rsidRPr="000C2609" w:rsidRDefault="000C2609" w:rsidP="000C2609">
      <w:pPr>
        <w:numPr>
          <w:ilvl w:val="0"/>
          <w:numId w:val="40"/>
        </w:numPr>
        <w:jc w:val="both"/>
        <w:rPr>
          <w:rFonts w:ascii="Calibri" w:hAnsi="Calibri" w:cs="Arial"/>
          <w:sz w:val="20"/>
          <w:szCs w:val="20"/>
        </w:rPr>
      </w:pPr>
      <w:r w:rsidRPr="000C2609">
        <w:rPr>
          <w:rFonts w:ascii="Calibri" w:hAnsi="Calibri" w:cs="Arial"/>
          <w:sz w:val="20"/>
          <w:szCs w:val="20"/>
        </w:rPr>
        <w:t>le bulletin d’information ;</w:t>
      </w:r>
    </w:p>
    <w:p w:rsidR="000C2609" w:rsidRPr="000C2609" w:rsidRDefault="000C2609" w:rsidP="000C2609">
      <w:pPr>
        <w:numPr>
          <w:ilvl w:val="0"/>
          <w:numId w:val="40"/>
        </w:numPr>
        <w:jc w:val="both"/>
        <w:rPr>
          <w:rFonts w:ascii="Calibri" w:hAnsi="Calibri" w:cs="Arial"/>
          <w:sz w:val="20"/>
          <w:szCs w:val="20"/>
        </w:rPr>
      </w:pPr>
      <w:r w:rsidRPr="000C2609">
        <w:rPr>
          <w:rFonts w:ascii="Calibri" w:hAnsi="Calibri" w:cs="Arial"/>
          <w:sz w:val="20"/>
          <w:szCs w:val="20"/>
        </w:rPr>
        <w:t>les modalités et échéances de communication des informations exigées au titre des IV et V de l’article 421-34 du règlement général de l’AMF (ou de son équivalent, transposant les paragraphes 4 et 5 de l’article 23 de la directive AIFM, dans le droit applicable à la société de gestion)</w:t>
      </w:r>
      <w:r>
        <w:rPr>
          <w:rFonts w:ascii="Calibri" w:hAnsi="Calibri" w:cs="Arial"/>
          <w:sz w:val="20"/>
          <w:szCs w:val="20"/>
        </w:rPr>
        <w:t>.</w:t>
      </w: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b/>
          <w:bCs/>
          <w:sz w:val="20"/>
          <w:szCs w:val="20"/>
        </w:rPr>
      </w:pPr>
      <w:r w:rsidRPr="000C2609">
        <w:rPr>
          <w:rFonts w:ascii="Calibri" w:hAnsi="Calibri" w:cs="Arial"/>
          <w:b/>
          <w:bCs/>
          <w:sz w:val="20"/>
          <w:szCs w:val="20"/>
        </w:rPr>
        <w:t>Chapitre V - Administration, contrôle, information de la société, acteurs</w:t>
      </w:r>
    </w:p>
    <w:p w:rsidR="000C2609" w:rsidRPr="000C2609" w:rsidRDefault="000C2609" w:rsidP="000C2609">
      <w:pPr>
        <w:jc w:val="both"/>
        <w:rPr>
          <w:rFonts w:ascii="Calibri" w:hAnsi="Calibri" w:cs="Arial"/>
          <w:b/>
          <w:bCs/>
          <w:sz w:val="20"/>
          <w:szCs w:val="20"/>
        </w:rPr>
      </w:pPr>
    </w:p>
    <w:p w:rsidR="000C2609" w:rsidRPr="000C2609" w:rsidRDefault="000C2609" w:rsidP="000C2609">
      <w:pPr>
        <w:jc w:val="both"/>
        <w:rPr>
          <w:rFonts w:ascii="Calibri" w:hAnsi="Calibri" w:cs="Arial"/>
          <w:b/>
          <w:bCs/>
          <w:sz w:val="20"/>
          <w:szCs w:val="20"/>
        </w:rPr>
      </w:pPr>
      <w:r w:rsidRPr="000C2609">
        <w:rPr>
          <w:rFonts w:ascii="Calibri" w:hAnsi="Calibri" w:cs="Arial"/>
          <w:b/>
          <w:bCs/>
          <w:sz w:val="20"/>
          <w:szCs w:val="20"/>
        </w:rPr>
        <w:t>1) La société</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D</w:t>
      </w:r>
      <w:r w:rsidR="000C2609" w:rsidRPr="000C2609">
        <w:rPr>
          <w:rFonts w:ascii="Calibri" w:hAnsi="Calibri" w:cs="Arial"/>
          <w:sz w:val="20"/>
          <w:szCs w:val="20"/>
        </w:rPr>
        <w:t>énomination sociale, nationalité, siège social, forme juridique, lieu de dépôt des statuts, n° du registre du commerce et des sociétés, durée de la société, objet social, exercice social, capital initial, capital statutaire, capital effectif.</w:t>
      </w: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b/>
          <w:bCs/>
          <w:sz w:val="20"/>
          <w:szCs w:val="20"/>
        </w:rPr>
      </w:pPr>
      <w:r w:rsidRPr="000C2609">
        <w:rPr>
          <w:rFonts w:ascii="Calibri" w:hAnsi="Calibri" w:cs="Arial"/>
          <w:b/>
          <w:bCs/>
          <w:sz w:val="20"/>
          <w:szCs w:val="20"/>
        </w:rPr>
        <w:t>2) Conseil de surveillance</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A</w:t>
      </w:r>
      <w:r w:rsidR="000C2609" w:rsidRPr="000C2609">
        <w:rPr>
          <w:rFonts w:ascii="Calibri" w:hAnsi="Calibri" w:cs="Arial"/>
          <w:sz w:val="20"/>
          <w:szCs w:val="20"/>
        </w:rPr>
        <w:t>ttributions ;</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N</w:t>
      </w:r>
      <w:r w:rsidR="000C2609" w:rsidRPr="000C2609">
        <w:rPr>
          <w:rFonts w:ascii="Calibri" w:hAnsi="Calibri" w:cs="Arial"/>
          <w:sz w:val="20"/>
          <w:szCs w:val="20"/>
        </w:rPr>
        <w:t>ombre de membres ;</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D</w:t>
      </w:r>
      <w:r w:rsidR="000C2609" w:rsidRPr="000C2609">
        <w:rPr>
          <w:rFonts w:ascii="Calibri" w:hAnsi="Calibri" w:cs="Arial"/>
          <w:sz w:val="20"/>
          <w:szCs w:val="20"/>
        </w:rPr>
        <w:t>urée de leur mandat ;</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C</w:t>
      </w:r>
      <w:r w:rsidR="000C2609" w:rsidRPr="000C2609">
        <w:rPr>
          <w:rFonts w:ascii="Calibri" w:hAnsi="Calibri" w:cs="Arial"/>
          <w:sz w:val="20"/>
          <w:szCs w:val="20"/>
        </w:rPr>
        <w:t>omposition du conseil ;</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R</w:t>
      </w:r>
      <w:r w:rsidR="000C2609" w:rsidRPr="000C2609">
        <w:rPr>
          <w:rFonts w:ascii="Calibri" w:hAnsi="Calibri" w:cs="Arial"/>
          <w:sz w:val="20"/>
          <w:szCs w:val="20"/>
        </w:rPr>
        <w:t>enouvellement, candidatures, désignation par mandat impératif des associés.</w:t>
      </w:r>
    </w:p>
    <w:p w:rsidR="000C2609" w:rsidRPr="000C2609" w:rsidRDefault="000C2609" w:rsidP="000C2609">
      <w:pPr>
        <w:jc w:val="both"/>
        <w:rPr>
          <w:rFonts w:ascii="Calibri" w:hAnsi="Calibri" w:cs="Arial"/>
          <w:sz w:val="20"/>
          <w:szCs w:val="20"/>
        </w:rPr>
      </w:pPr>
    </w:p>
    <w:p w:rsidR="000C2609" w:rsidRDefault="000C2609" w:rsidP="000C2609">
      <w:pPr>
        <w:jc w:val="both"/>
        <w:rPr>
          <w:rFonts w:ascii="Calibri" w:hAnsi="Calibri" w:cs="Arial"/>
          <w:b/>
          <w:bCs/>
          <w:sz w:val="20"/>
          <w:szCs w:val="20"/>
        </w:rPr>
      </w:pPr>
      <w:r w:rsidRPr="000C2609">
        <w:rPr>
          <w:rFonts w:ascii="Calibri" w:hAnsi="Calibri" w:cs="Arial"/>
          <w:b/>
          <w:bCs/>
          <w:sz w:val="20"/>
          <w:szCs w:val="20"/>
        </w:rPr>
        <w:t>3) Autres acteurs</w:t>
      </w:r>
    </w:p>
    <w:p w:rsidR="009E7395" w:rsidRPr="000C2609" w:rsidRDefault="009E7395" w:rsidP="000C2609">
      <w:pPr>
        <w:jc w:val="both"/>
        <w:rPr>
          <w:rFonts w:ascii="Calibri" w:hAnsi="Calibri" w:cs="Arial"/>
          <w:b/>
          <w:bCs/>
          <w:sz w:val="20"/>
          <w:szCs w:val="20"/>
        </w:rPr>
      </w:pPr>
    </w:p>
    <w:p w:rsidR="000C2609" w:rsidRPr="000C2609" w:rsidRDefault="000C2609" w:rsidP="000C2609">
      <w:pPr>
        <w:jc w:val="both"/>
        <w:rPr>
          <w:rFonts w:ascii="Calibri" w:hAnsi="Calibri" w:cs="Arial"/>
          <w:b/>
          <w:bCs/>
          <w:sz w:val="20"/>
          <w:szCs w:val="20"/>
        </w:rPr>
      </w:pPr>
      <w:r w:rsidRPr="000C2609">
        <w:rPr>
          <w:rFonts w:ascii="Calibri" w:hAnsi="Calibri" w:cs="Arial"/>
          <w:b/>
          <w:bCs/>
          <w:sz w:val="20"/>
          <w:szCs w:val="20"/>
        </w:rPr>
        <w:t xml:space="preserve"> Administration : société de gestion nommée</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D</w:t>
      </w:r>
      <w:r w:rsidR="000C2609" w:rsidRPr="000C2609">
        <w:rPr>
          <w:rFonts w:ascii="Calibri" w:hAnsi="Calibri" w:cs="Arial"/>
          <w:sz w:val="20"/>
          <w:szCs w:val="20"/>
        </w:rPr>
        <w:t xml:space="preserve">énomination, siège social, nationalité, forme juridique, numéro du registre du commerce et des sociétés ; </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O</w:t>
      </w:r>
      <w:r w:rsidR="000C2609" w:rsidRPr="000C2609">
        <w:rPr>
          <w:rFonts w:ascii="Calibri" w:hAnsi="Calibri" w:cs="Arial"/>
          <w:sz w:val="20"/>
          <w:szCs w:val="20"/>
        </w:rPr>
        <w:t>bjet social ;</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M</w:t>
      </w:r>
      <w:r w:rsidR="000C2609" w:rsidRPr="000C2609">
        <w:rPr>
          <w:rFonts w:ascii="Calibri" w:hAnsi="Calibri" w:cs="Arial"/>
          <w:sz w:val="20"/>
          <w:szCs w:val="20"/>
        </w:rPr>
        <w:t>ontant et répartition du capital ;</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C</w:t>
      </w:r>
      <w:r w:rsidR="000C2609" w:rsidRPr="000C2609">
        <w:rPr>
          <w:rFonts w:ascii="Calibri" w:hAnsi="Calibri" w:cs="Arial"/>
          <w:sz w:val="20"/>
          <w:szCs w:val="20"/>
        </w:rPr>
        <w:t>onseil d'administration, direction ;</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N</w:t>
      </w:r>
      <w:r w:rsidR="000C2609" w:rsidRPr="000C2609">
        <w:rPr>
          <w:rFonts w:ascii="Calibri" w:hAnsi="Calibri" w:cs="Arial"/>
          <w:sz w:val="20"/>
          <w:szCs w:val="20"/>
        </w:rPr>
        <w:t>uméro de l'agrément délivré par l’AMF ;</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D</w:t>
      </w:r>
      <w:r w:rsidR="000C2609" w:rsidRPr="000C2609">
        <w:rPr>
          <w:rFonts w:ascii="Calibri" w:hAnsi="Calibri" w:cs="Arial"/>
          <w:sz w:val="20"/>
          <w:szCs w:val="20"/>
        </w:rPr>
        <w:t>écrire les obligations de la société de gestion ;</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L</w:t>
      </w:r>
      <w:r w:rsidR="000C2609" w:rsidRPr="000C2609">
        <w:rPr>
          <w:rFonts w:ascii="Calibri" w:hAnsi="Calibri" w:cs="Arial"/>
          <w:sz w:val="20"/>
          <w:szCs w:val="20"/>
        </w:rPr>
        <w:t>orsque le GFI est gérée par une société de gestion agréée conformément à la directive 2011/61/UE, décrire, conformément au IV de l’article 317-2 du règlement général de l’AMF (ou sa disposition équivalente, transposant le paragraphe 7 de l’article 9 de la directive 2011/61/UE, dans le droit applicable à la société de gestion), la manière dont la société de gestion respecte les exigences afin de couvrir les risques éventuels de mise en cause de sa responsabilité professionnelle à l'occasion de la gestion du GFI;</w:t>
      </w:r>
    </w:p>
    <w:p w:rsidR="000C2609" w:rsidRPr="000C2609" w:rsidRDefault="001B5266" w:rsidP="000C2609">
      <w:pPr>
        <w:pStyle w:val="Paragraphedeliste"/>
        <w:numPr>
          <w:ilvl w:val="0"/>
          <w:numId w:val="36"/>
        </w:numPr>
        <w:tabs>
          <w:tab w:val="num" w:pos="709"/>
        </w:tabs>
        <w:jc w:val="both"/>
        <w:rPr>
          <w:rFonts w:ascii="Calibri" w:hAnsi="Calibri" w:cs="Arial"/>
          <w:sz w:val="20"/>
          <w:szCs w:val="20"/>
        </w:rPr>
      </w:pPr>
      <w:r>
        <w:rPr>
          <w:rFonts w:ascii="Calibri" w:hAnsi="Calibri" w:cs="Arial"/>
          <w:sz w:val="20"/>
          <w:szCs w:val="20"/>
        </w:rPr>
        <w:t>D</w:t>
      </w:r>
      <w:r w:rsidR="000C2609" w:rsidRPr="000C2609">
        <w:rPr>
          <w:rFonts w:ascii="Calibri" w:hAnsi="Calibri" w:cs="Arial"/>
          <w:sz w:val="20"/>
          <w:szCs w:val="20"/>
        </w:rPr>
        <w:t>escription de toute fonction de gestion déléguée par la société de gestion, l’identification du délégataire et tout conflit d’intérêts susceptible de découler de ces délégations.</w:t>
      </w: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b/>
          <w:sz w:val="20"/>
          <w:szCs w:val="20"/>
        </w:rPr>
      </w:pPr>
      <w:r w:rsidRPr="000C2609">
        <w:rPr>
          <w:rFonts w:ascii="Calibri" w:hAnsi="Calibri" w:cs="Arial"/>
          <w:b/>
          <w:sz w:val="20"/>
          <w:szCs w:val="20"/>
        </w:rPr>
        <w:t xml:space="preserve">Identification du dépositaire et de ses obligations </w:t>
      </w: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sidRPr="000C2609">
        <w:rPr>
          <w:rFonts w:ascii="Calibri" w:hAnsi="Calibri" w:cs="Arial"/>
          <w:sz w:val="20"/>
          <w:szCs w:val="20"/>
        </w:rPr>
        <w:t>Identification du dépositaire ;</w:t>
      </w: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sidRPr="000C2609">
        <w:rPr>
          <w:rFonts w:ascii="Calibri" w:hAnsi="Calibri" w:cs="Arial"/>
          <w:sz w:val="20"/>
          <w:szCs w:val="20"/>
        </w:rPr>
        <w:t>Description de toute fonction de garde déléguée par le dépositaire, l’identification du délégataire et tout conflit d’intérêts susceptible de découler de ces délégations.</w:t>
      </w: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b/>
          <w:bCs/>
          <w:sz w:val="20"/>
          <w:szCs w:val="20"/>
        </w:rPr>
      </w:pPr>
      <w:r w:rsidRPr="000C2609">
        <w:rPr>
          <w:rFonts w:ascii="Calibri" w:hAnsi="Calibri" w:cs="Arial"/>
          <w:b/>
          <w:bCs/>
          <w:sz w:val="20"/>
          <w:szCs w:val="20"/>
        </w:rPr>
        <w:t>Commissaires aux comptes</w:t>
      </w: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sidRPr="000C2609">
        <w:rPr>
          <w:rFonts w:ascii="Calibri" w:hAnsi="Calibri" w:cs="Arial"/>
          <w:sz w:val="20"/>
          <w:szCs w:val="20"/>
        </w:rPr>
        <w:t>nom, prénom, adresse, qualité du ou des commissaires aux comptes ;</w:t>
      </w: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sidRPr="000C2609">
        <w:rPr>
          <w:rFonts w:ascii="Calibri" w:hAnsi="Calibri" w:cs="Arial"/>
          <w:sz w:val="20"/>
          <w:szCs w:val="20"/>
        </w:rPr>
        <w:t>date et durée de la nomination.</w:t>
      </w: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b/>
          <w:bCs/>
          <w:sz w:val="20"/>
          <w:szCs w:val="20"/>
        </w:rPr>
      </w:pPr>
      <w:r w:rsidRPr="000C2609">
        <w:rPr>
          <w:rFonts w:ascii="Calibri" w:hAnsi="Calibri" w:cs="Arial"/>
          <w:b/>
          <w:bCs/>
          <w:sz w:val="20"/>
          <w:szCs w:val="20"/>
        </w:rPr>
        <w:t>Expert forestier</w:t>
      </w: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sidRPr="000C2609">
        <w:rPr>
          <w:rFonts w:ascii="Calibri" w:hAnsi="Calibri" w:cs="Arial"/>
          <w:sz w:val="20"/>
          <w:szCs w:val="20"/>
        </w:rPr>
        <w:t>nom, prénom, adresse, rappel des obligations réglementaires ;</w:t>
      </w: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sidRPr="000C2609">
        <w:rPr>
          <w:rFonts w:ascii="Calibri" w:hAnsi="Calibri" w:cs="Arial"/>
          <w:sz w:val="20"/>
          <w:szCs w:val="20"/>
        </w:rPr>
        <w:t>date et durée de la nomination</w:t>
      </w:r>
      <w:r>
        <w:rPr>
          <w:rFonts w:ascii="Calibri" w:hAnsi="Calibri" w:cs="Arial"/>
          <w:sz w:val="20"/>
          <w:szCs w:val="20"/>
        </w:rPr>
        <w:t>.</w:t>
      </w:r>
    </w:p>
    <w:p w:rsidR="000C2609" w:rsidRDefault="000C2609" w:rsidP="000C2609">
      <w:pPr>
        <w:jc w:val="both"/>
        <w:rPr>
          <w:rFonts w:ascii="Calibri" w:hAnsi="Calibri" w:cs="Arial"/>
          <w:bCs/>
          <w:sz w:val="20"/>
          <w:szCs w:val="20"/>
        </w:rPr>
      </w:pPr>
    </w:p>
    <w:p w:rsidR="009E7395" w:rsidRDefault="009E7395" w:rsidP="000C2609">
      <w:pPr>
        <w:jc w:val="both"/>
        <w:rPr>
          <w:rFonts w:ascii="Calibri" w:hAnsi="Calibri" w:cs="Arial"/>
          <w:bCs/>
          <w:sz w:val="20"/>
          <w:szCs w:val="20"/>
        </w:rPr>
      </w:pPr>
    </w:p>
    <w:p w:rsidR="009E7395" w:rsidRDefault="009E7395" w:rsidP="000C2609">
      <w:pPr>
        <w:jc w:val="both"/>
        <w:rPr>
          <w:rFonts w:ascii="Calibri" w:hAnsi="Calibri" w:cs="Arial"/>
          <w:bCs/>
          <w:sz w:val="20"/>
          <w:szCs w:val="20"/>
        </w:rPr>
      </w:pPr>
    </w:p>
    <w:p w:rsidR="009E7395" w:rsidRPr="000C2609" w:rsidRDefault="009E7395" w:rsidP="000C2609">
      <w:pPr>
        <w:jc w:val="both"/>
        <w:rPr>
          <w:rFonts w:ascii="Calibri" w:hAnsi="Calibri" w:cs="Arial"/>
          <w:bCs/>
          <w:sz w:val="20"/>
          <w:szCs w:val="20"/>
        </w:rPr>
      </w:pPr>
    </w:p>
    <w:p w:rsidR="000C2609" w:rsidRPr="000C2609" w:rsidRDefault="000C2609" w:rsidP="000C2609">
      <w:pPr>
        <w:jc w:val="both"/>
        <w:rPr>
          <w:rFonts w:ascii="Calibri" w:hAnsi="Calibri" w:cs="Arial"/>
          <w:b/>
          <w:bCs/>
          <w:sz w:val="20"/>
          <w:szCs w:val="20"/>
        </w:rPr>
      </w:pPr>
      <w:r w:rsidRPr="000C2609">
        <w:rPr>
          <w:rFonts w:ascii="Calibri" w:hAnsi="Calibri" w:cs="Arial"/>
          <w:b/>
          <w:sz w:val="20"/>
          <w:szCs w:val="20"/>
        </w:rPr>
        <w:t>Description de tout autre prestataire de services</w:t>
      </w:r>
    </w:p>
    <w:p w:rsidR="000C2609" w:rsidRPr="000C2609" w:rsidRDefault="000C2609" w:rsidP="000C2609">
      <w:pPr>
        <w:jc w:val="both"/>
        <w:rPr>
          <w:rFonts w:ascii="Calibri" w:hAnsi="Calibri" w:cs="Arial"/>
          <w:bCs/>
          <w:sz w:val="20"/>
          <w:szCs w:val="20"/>
        </w:rPr>
      </w:pPr>
    </w:p>
    <w:p w:rsidR="000C2609" w:rsidRPr="000C2609" w:rsidRDefault="000C2609" w:rsidP="000C2609">
      <w:pPr>
        <w:jc w:val="both"/>
        <w:rPr>
          <w:rFonts w:ascii="Calibri" w:hAnsi="Calibri" w:cs="Arial"/>
          <w:sz w:val="20"/>
          <w:szCs w:val="20"/>
        </w:rPr>
      </w:pPr>
    </w:p>
    <w:p w:rsidR="000C2609" w:rsidRPr="000C2609" w:rsidRDefault="00364F7E" w:rsidP="000C2609">
      <w:pPr>
        <w:jc w:val="both"/>
        <w:rPr>
          <w:rFonts w:ascii="Calibri" w:hAnsi="Calibri" w:cs="Arial"/>
          <w:b/>
          <w:bCs/>
          <w:sz w:val="20"/>
          <w:szCs w:val="20"/>
        </w:rPr>
      </w:pPr>
      <w:r>
        <w:rPr>
          <w:rFonts w:ascii="Calibri" w:hAnsi="Calibri" w:cs="Arial"/>
          <w:b/>
          <w:bCs/>
          <w:sz w:val="20"/>
          <w:szCs w:val="20"/>
        </w:rPr>
        <w:t xml:space="preserve">4) </w:t>
      </w:r>
      <w:r w:rsidR="000C2609" w:rsidRPr="000C2609">
        <w:rPr>
          <w:rFonts w:ascii="Calibri" w:hAnsi="Calibri" w:cs="Arial"/>
          <w:b/>
          <w:bCs/>
          <w:sz w:val="20"/>
          <w:szCs w:val="20"/>
        </w:rPr>
        <w:t>Information</w:t>
      </w:r>
    </w:p>
    <w:p w:rsidR="000C2609" w:rsidRPr="000C2609" w:rsidRDefault="000C2609" w:rsidP="000C2609">
      <w:pPr>
        <w:pStyle w:val="Paragraphedeliste"/>
        <w:numPr>
          <w:ilvl w:val="0"/>
          <w:numId w:val="36"/>
        </w:numPr>
        <w:tabs>
          <w:tab w:val="num" w:pos="709"/>
        </w:tabs>
        <w:jc w:val="both"/>
        <w:rPr>
          <w:rFonts w:ascii="Calibri" w:hAnsi="Calibri" w:cs="Arial"/>
          <w:sz w:val="20"/>
          <w:szCs w:val="20"/>
        </w:rPr>
      </w:pPr>
      <w:r w:rsidRPr="000C2609">
        <w:rPr>
          <w:rFonts w:ascii="Calibri" w:hAnsi="Calibri" w:cs="Arial"/>
          <w:sz w:val="20"/>
          <w:szCs w:val="20"/>
        </w:rPr>
        <w:t>nom, adresse et numéro de téléphone de la personne responsable de l'information relative au GFI.</w:t>
      </w:r>
    </w:p>
    <w:p w:rsidR="000C2609" w:rsidRPr="000C2609" w:rsidRDefault="000C2609" w:rsidP="000C2609">
      <w:pPr>
        <w:jc w:val="both"/>
        <w:rPr>
          <w:rFonts w:ascii="Calibri" w:hAnsi="Calibri" w:cs="Arial"/>
          <w:sz w:val="20"/>
          <w:szCs w:val="20"/>
        </w:rPr>
      </w:pPr>
    </w:p>
    <w:p w:rsidR="000C2609" w:rsidRPr="000C2609" w:rsidRDefault="000C2609" w:rsidP="000C2609">
      <w:pPr>
        <w:jc w:val="center"/>
        <w:rPr>
          <w:rFonts w:ascii="Calibri" w:hAnsi="Calibri" w:cs="Arial"/>
          <w:sz w:val="20"/>
          <w:szCs w:val="20"/>
        </w:rPr>
      </w:pPr>
      <w:r w:rsidRPr="000C2609">
        <w:rPr>
          <w:rFonts w:ascii="Calibri" w:hAnsi="Calibri" w:cs="Arial"/>
          <w:sz w:val="20"/>
          <w:szCs w:val="20"/>
        </w:rPr>
        <w:t>*  *  *</w:t>
      </w: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sz w:val="20"/>
          <w:szCs w:val="20"/>
        </w:rPr>
      </w:pPr>
    </w:p>
    <w:p w:rsidR="000C2609" w:rsidRPr="000C2609" w:rsidRDefault="000C2609" w:rsidP="005634FF">
      <w:pPr>
        <w:pBdr>
          <w:top w:val="single" w:sz="4" w:space="1" w:color="auto"/>
          <w:left w:val="single" w:sz="4" w:space="4" w:color="auto"/>
          <w:bottom w:val="single" w:sz="4" w:space="1" w:color="auto"/>
          <w:right w:val="single" w:sz="4" w:space="4" w:color="auto"/>
        </w:pBdr>
        <w:jc w:val="center"/>
        <w:rPr>
          <w:rFonts w:ascii="Calibri" w:hAnsi="Calibri" w:cs="Arial"/>
          <w:b/>
          <w:sz w:val="20"/>
          <w:szCs w:val="20"/>
        </w:rPr>
      </w:pPr>
      <w:r w:rsidRPr="000C2609">
        <w:rPr>
          <w:rFonts w:ascii="Calibri" w:hAnsi="Calibri" w:cs="Arial"/>
          <w:b/>
          <w:sz w:val="20"/>
          <w:szCs w:val="20"/>
        </w:rPr>
        <w:t>VISA DE L’AUTORITE DES MARCHES FINANCIERS</w:t>
      </w:r>
    </w:p>
    <w:p w:rsidR="000C2609" w:rsidRPr="000C2609" w:rsidRDefault="000C2609" w:rsidP="005634FF">
      <w:pPr>
        <w:pBdr>
          <w:top w:val="single" w:sz="4" w:space="1" w:color="auto"/>
          <w:left w:val="single" w:sz="4" w:space="4" w:color="auto"/>
          <w:bottom w:val="single" w:sz="4" w:space="1" w:color="auto"/>
          <w:right w:val="single" w:sz="4" w:space="4" w:color="auto"/>
        </w:pBdr>
        <w:jc w:val="both"/>
        <w:rPr>
          <w:rFonts w:ascii="Calibri" w:hAnsi="Calibri" w:cs="Arial"/>
          <w:b/>
          <w:sz w:val="20"/>
          <w:szCs w:val="20"/>
        </w:rPr>
      </w:pPr>
    </w:p>
    <w:p w:rsidR="000C2609" w:rsidRPr="000C2609" w:rsidRDefault="000C2609" w:rsidP="005634FF">
      <w:pPr>
        <w:pBdr>
          <w:top w:val="single" w:sz="4" w:space="1" w:color="auto"/>
          <w:left w:val="single" w:sz="4" w:space="4" w:color="auto"/>
          <w:bottom w:val="single" w:sz="4" w:space="1" w:color="auto"/>
          <w:right w:val="single" w:sz="4" w:space="4" w:color="auto"/>
        </w:pBdr>
        <w:jc w:val="both"/>
        <w:rPr>
          <w:rFonts w:ascii="Calibri" w:hAnsi="Calibri" w:cs="Arial"/>
          <w:b/>
          <w:sz w:val="20"/>
          <w:szCs w:val="20"/>
        </w:rPr>
      </w:pPr>
      <w:r w:rsidRPr="000C2609">
        <w:rPr>
          <w:rFonts w:ascii="Calibri" w:hAnsi="Calibri" w:cs="Arial"/>
          <w:b/>
          <w:sz w:val="20"/>
          <w:szCs w:val="20"/>
        </w:rPr>
        <w:t>Par application des articles L. 411-1, L. 411-2, L. 412-1 et L. 621-8 du code monétaire et financier, l’Autorité des marchés financiers a apposé sur la présente note d’information le visa n° ... en date du</w:t>
      </w:r>
      <w:r>
        <w:rPr>
          <w:rFonts w:ascii="Calibri" w:hAnsi="Calibri" w:cs="Arial"/>
          <w:b/>
          <w:sz w:val="20"/>
          <w:szCs w:val="20"/>
        </w:rPr>
        <w:t xml:space="preserve"> </w:t>
      </w:r>
      <w:r w:rsidRPr="000C2609">
        <w:rPr>
          <w:rFonts w:ascii="Calibri" w:hAnsi="Calibri" w:cs="Arial"/>
          <w:b/>
          <w:sz w:val="20"/>
          <w:szCs w:val="20"/>
        </w:rPr>
        <w:t>... .</w:t>
      </w:r>
    </w:p>
    <w:p w:rsidR="000C2609" w:rsidRPr="000C2609" w:rsidRDefault="000C2609" w:rsidP="005634FF">
      <w:pPr>
        <w:pBdr>
          <w:top w:val="single" w:sz="4" w:space="1" w:color="auto"/>
          <w:left w:val="single" w:sz="4" w:space="4" w:color="auto"/>
          <w:bottom w:val="single" w:sz="4" w:space="1" w:color="auto"/>
          <w:right w:val="single" w:sz="4" w:space="4" w:color="auto"/>
        </w:pBdr>
        <w:jc w:val="both"/>
        <w:rPr>
          <w:rFonts w:ascii="Calibri" w:hAnsi="Calibri" w:cs="Arial"/>
          <w:b/>
          <w:sz w:val="20"/>
          <w:szCs w:val="20"/>
        </w:rPr>
      </w:pPr>
    </w:p>
    <w:p w:rsidR="000C2609" w:rsidRPr="000C2609" w:rsidRDefault="000C2609" w:rsidP="005634FF">
      <w:pPr>
        <w:pBdr>
          <w:top w:val="single" w:sz="4" w:space="1" w:color="auto"/>
          <w:left w:val="single" w:sz="4" w:space="4" w:color="auto"/>
          <w:bottom w:val="single" w:sz="4" w:space="1" w:color="auto"/>
          <w:right w:val="single" w:sz="4" w:space="4" w:color="auto"/>
        </w:pBdr>
        <w:jc w:val="both"/>
        <w:rPr>
          <w:rFonts w:ascii="Calibri" w:hAnsi="Calibri" w:cs="Arial"/>
          <w:b/>
          <w:sz w:val="20"/>
          <w:szCs w:val="20"/>
        </w:rPr>
      </w:pPr>
      <w:r w:rsidRPr="000C2609">
        <w:rPr>
          <w:rFonts w:ascii="Calibri" w:hAnsi="Calibri" w:cs="Arial"/>
          <w:b/>
          <w:sz w:val="20"/>
          <w:szCs w:val="20"/>
        </w:rPr>
        <w:t>Cette note d’information a été établie par l’émetteur et engage la responsabilité de ses signataires. Le visa n’implique ni approbation de l’opportunité de l’opération, ni authentification des éléments comptables et financiers présentés. Il a été attribué après examen de la pertinence et de la cohérence de l’information donnée dans la perspective de l’opération proposée aux investisseurs.</w:t>
      </w: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sz w:val="20"/>
          <w:szCs w:val="20"/>
        </w:rPr>
      </w:pPr>
    </w:p>
    <w:p w:rsidR="000C2609" w:rsidRPr="000C2609" w:rsidRDefault="000C2609" w:rsidP="000C2609">
      <w:pPr>
        <w:jc w:val="both"/>
        <w:rPr>
          <w:rFonts w:ascii="Calibri" w:hAnsi="Calibri" w:cs="Arial"/>
          <w:sz w:val="20"/>
          <w:szCs w:val="20"/>
          <w:u w:val="single"/>
        </w:rPr>
      </w:pPr>
    </w:p>
    <w:p w:rsidR="00330C47" w:rsidRPr="000C5F07" w:rsidRDefault="00330C47" w:rsidP="000C2609">
      <w:pPr>
        <w:jc w:val="both"/>
        <w:rPr>
          <w:rFonts w:ascii="Calibri" w:hAnsi="Calibri" w:cs="Arial"/>
          <w:sz w:val="20"/>
          <w:szCs w:val="20"/>
        </w:rPr>
      </w:pPr>
    </w:p>
    <w:sectPr w:rsidR="00330C47" w:rsidRPr="000C5F07" w:rsidSect="00081395">
      <w:headerReference w:type="default" r:id="rId13"/>
      <w:footerReference w:type="default" r:id="rId14"/>
      <w:headerReference w:type="first" r:id="rId15"/>
      <w:footerReference w:type="first" r:id="rId16"/>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A5A" w:rsidRDefault="00AE5A5A">
      <w:r>
        <w:separator/>
      </w:r>
    </w:p>
    <w:p w:rsidR="00AE5A5A" w:rsidRDefault="00AE5A5A"/>
  </w:endnote>
  <w:endnote w:type="continuationSeparator" w:id="0">
    <w:p w:rsidR="00AE5A5A" w:rsidRDefault="00AE5A5A">
      <w:r>
        <w:continuationSeparator/>
      </w:r>
    </w:p>
    <w:p w:rsidR="00AE5A5A" w:rsidRDefault="00AE5A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EUAlbertina">
    <w:altName w:val="EU Albertin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5A" w:rsidRPr="00333E95" w:rsidRDefault="00AE5A5A"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500009534"/>
        <w:docPartObj>
          <w:docPartGallery w:val="Page Numbers (Bottom of Page)"/>
          <w:docPartUnique/>
        </w:docPartObj>
      </w:sdtPr>
      <w:sdtEndPr/>
      <w:sdtContent>
        <w:sdt>
          <w:sdtPr>
            <w:rPr>
              <w:rFonts w:asciiTheme="minorHAnsi" w:hAnsiTheme="minorHAnsi" w:cstheme="minorHAnsi"/>
              <w:sz w:val="18"/>
              <w:szCs w:val="18"/>
            </w:rPr>
            <w:id w:val="55752778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B35EC7">
              <w:rPr>
                <w:rFonts w:asciiTheme="minorHAnsi" w:hAnsiTheme="minorHAnsi" w:cstheme="minorHAnsi"/>
                <w:bCs/>
                <w:noProof/>
                <w:sz w:val="18"/>
                <w:szCs w:val="18"/>
              </w:rPr>
              <w:t>3</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B35EC7">
              <w:rPr>
                <w:rFonts w:asciiTheme="minorHAnsi" w:hAnsiTheme="minorHAnsi" w:cstheme="minorHAnsi"/>
                <w:bCs/>
                <w:noProof/>
                <w:sz w:val="18"/>
                <w:szCs w:val="18"/>
              </w:rPr>
              <w:t>5</w:t>
            </w:r>
            <w:r w:rsidRPr="00333E95">
              <w:rPr>
                <w:rFonts w:asciiTheme="minorHAnsi" w:hAnsiTheme="minorHAnsi" w:cstheme="minorHAnsi"/>
                <w:bCs/>
                <w:sz w:val="18"/>
                <w:szCs w:val="18"/>
              </w:rPr>
              <w:fldChar w:fldCharType="end"/>
            </w:r>
          </w:sdtContent>
        </w:sdt>
      </w:sdtContent>
    </w:sdt>
  </w:p>
  <w:p w:rsidR="00AE5A5A" w:rsidRDefault="00AE5A5A" w:rsidP="00333E9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5A" w:rsidRPr="00333E95" w:rsidRDefault="00AE5A5A"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B35EC7">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B35EC7">
              <w:rPr>
                <w:rFonts w:asciiTheme="minorHAnsi" w:hAnsiTheme="minorHAnsi" w:cstheme="minorHAnsi"/>
                <w:bCs/>
                <w:noProof/>
                <w:sz w:val="18"/>
                <w:szCs w:val="18"/>
              </w:rPr>
              <w:t>5</w:t>
            </w:r>
            <w:r w:rsidRPr="00333E95">
              <w:rPr>
                <w:rFonts w:asciiTheme="minorHAnsi" w:hAnsiTheme="minorHAnsi" w:cstheme="minorHAnsi"/>
                <w:bCs/>
                <w:sz w:val="18"/>
                <w:szCs w:val="18"/>
              </w:rPr>
              <w:fldChar w:fldCharType="end"/>
            </w:r>
          </w:sdtContent>
        </w:sdt>
      </w:sdtContent>
    </w:sdt>
  </w:p>
  <w:p w:rsidR="00AE5A5A" w:rsidRDefault="00AE5A5A" w:rsidP="00333E9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A5A" w:rsidRDefault="00AE5A5A">
      <w:r>
        <w:separator/>
      </w:r>
    </w:p>
    <w:p w:rsidR="00AE5A5A" w:rsidRDefault="00AE5A5A"/>
  </w:footnote>
  <w:footnote w:type="continuationSeparator" w:id="0">
    <w:p w:rsidR="00AE5A5A" w:rsidRDefault="00AE5A5A">
      <w:r>
        <w:continuationSeparator/>
      </w:r>
    </w:p>
    <w:p w:rsidR="00AE5A5A" w:rsidRDefault="00AE5A5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5A" w:rsidRDefault="00AE5A5A">
    <w:pPr>
      <w:pStyle w:val="En-tte"/>
    </w:pPr>
    <w:r w:rsidRPr="00E1138C">
      <w:rPr>
        <w:noProof/>
      </w:rPr>
      <w:drawing>
        <wp:anchor distT="0" distB="0" distL="114300" distR="114300" simplePos="0" relativeHeight="251664896" behindDoc="1" locked="0" layoutInCell="1" allowOverlap="1" wp14:anchorId="46DA71C5" wp14:editId="454B6FED">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rsidR="00AE5A5A" w:rsidRPr="007D3B0A" w:rsidRDefault="00EB3FE9" w:rsidP="00D852FF">
    <w:pPr>
      <w:pStyle w:val="AMFDoctrineEntete2"/>
      <w:pBdr>
        <w:bottom w:val="single" w:sz="4" w:space="1" w:color="auto"/>
      </w:pBdr>
    </w:pPr>
    <w:r>
      <w:t xml:space="preserve">Annexe I ter de l’Instruction </w:t>
    </w:r>
    <w:r w:rsidR="00C77A5D">
      <w:t>DOC-2019-</w:t>
    </w:r>
    <w:r>
      <w:t>04</w:t>
    </w:r>
    <w:r w:rsidR="00F65D9C">
      <w:t xml:space="preserve"> – </w:t>
    </w:r>
    <w:r w:rsidRPr="00EB3FE9">
      <w:t>Sociétés civiles de placement immobilier, sociétés d’épargne forestière et groupements forestiers d’investissement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A5A" w:rsidRDefault="00AE5A5A" w:rsidP="00511597">
    <w:pPr>
      <w:pStyle w:val="En-tte"/>
      <w:tabs>
        <w:tab w:val="clear" w:pos="4536"/>
        <w:tab w:val="clear" w:pos="9072"/>
        <w:tab w:val="left" w:pos="8268"/>
      </w:tabs>
      <w:ind w:left="360"/>
    </w:pPr>
    <w:r>
      <w:rPr>
        <w:noProof/>
      </w:rPr>
      <w:drawing>
        <wp:anchor distT="0" distB="0" distL="114300" distR="114300" simplePos="0" relativeHeight="251665920" behindDoc="1" locked="0" layoutInCell="1" allowOverlap="1" wp14:anchorId="3D3D2CB8" wp14:editId="6EE96DB3">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tab/>
    </w:r>
  </w:p>
  <w:p w:rsidR="00AE5A5A" w:rsidRDefault="00AE5A5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2pt;height:28.2pt" o:bullet="t">
        <v:imagedata r:id="rId1" o:title="Flêche_AMF_blc"/>
      </v:shape>
    </w:pict>
  </w:numPicBullet>
  <w:abstractNum w:abstractNumId="0">
    <w:nsid w:val="FFFFFFFE"/>
    <w:multiLevelType w:val="singleLevel"/>
    <w:tmpl w:val="82A8C6D0"/>
    <w:lvl w:ilvl="0">
      <w:numFmt w:val="bullet"/>
      <w:lvlText w:val="*"/>
      <w:lvlJc w:val="left"/>
    </w:lvl>
  </w:abstractNum>
  <w:abstractNum w:abstractNumId="1">
    <w:nsid w:val="01B946AB"/>
    <w:multiLevelType w:val="hybridMultilevel"/>
    <w:tmpl w:val="D554B43A"/>
    <w:lvl w:ilvl="0" w:tplc="BD7CCBC0">
      <w:start w:val="1"/>
      <w:numFmt w:val="bullet"/>
      <w:pStyle w:val="Style2"/>
      <w:lvlText w:val=""/>
      <w:lvlJc w:val="left"/>
      <w:pPr>
        <w:ind w:left="720" w:hanging="360"/>
      </w:pPr>
      <w:rPr>
        <w:rFonts w:ascii="Wingdings" w:hAnsi="Wingdings" w:hint="default"/>
        <w:color w:val="auto"/>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38783F"/>
    <w:multiLevelType w:val="hybridMultilevel"/>
    <w:tmpl w:val="A3AA452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2BB5347"/>
    <w:multiLevelType w:val="hybridMultilevel"/>
    <w:tmpl w:val="4446C812"/>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nsid w:val="173E6692"/>
    <w:multiLevelType w:val="hybridMultilevel"/>
    <w:tmpl w:val="6CCA0348"/>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97E1AA8"/>
    <w:multiLevelType w:val="hybridMultilevel"/>
    <w:tmpl w:val="BA969CF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C6F0253"/>
    <w:multiLevelType w:val="hybridMultilevel"/>
    <w:tmpl w:val="0A94202C"/>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8310890"/>
    <w:multiLevelType w:val="hybridMultilevel"/>
    <w:tmpl w:val="48C2ACB2"/>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nsid w:val="2AAE1998"/>
    <w:multiLevelType w:val="hybridMultilevel"/>
    <w:tmpl w:val="181680CE"/>
    <w:lvl w:ilvl="0" w:tplc="9E324F4C">
      <w:start w:val="1"/>
      <w:numFmt w:val="bullet"/>
      <w:lvlText w:val="• "/>
      <w:lvlJc w:val="left"/>
      <w:pPr>
        <w:ind w:left="1470" w:hanging="360"/>
      </w:pPr>
      <w:rPr>
        <w:rFonts w:ascii="Arial" w:hAnsi="Arial" w:cs="Arial" w:hint="default"/>
        <w:b w:val="0"/>
        <w:i w:val="0"/>
        <w:strike w:val="0"/>
        <w:color w:val="000000"/>
        <w:sz w:val="18"/>
        <w:u w:val="none"/>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2">
    <w:nsid w:val="2B8E2DD7"/>
    <w:multiLevelType w:val="hybridMultilevel"/>
    <w:tmpl w:val="AD2CFAC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nsid w:val="334649A7"/>
    <w:multiLevelType w:val="hybridMultilevel"/>
    <w:tmpl w:val="C38ED9C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nsid w:val="338A6F29"/>
    <w:multiLevelType w:val="hybridMultilevel"/>
    <w:tmpl w:val="7C8A5B4E"/>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5">
    <w:nsid w:val="3B6E2C5D"/>
    <w:multiLevelType w:val="hybridMultilevel"/>
    <w:tmpl w:val="495E06C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D5109C0"/>
    <w:multiLevelType w:val="hybridMultilevel"/>
    <w:tmpl w:val="9CBC66FC"/>
    <w:lvl w:ilvl="0" w:tplc="82A8C6D0">
      <w:start w:val="1"/>
      <w:numFmt w:val="bullet"/>
      <w:lvlText w:val="• "/>
      <w:lvlJc w:val="left"/>
      <w:pPr>
        <w:ind w:left="1713" w:hanging="360"/>
      </w:pPr>
      <w:rPr>
        <w:rFonts w:ascii="Times New Roman" w:hAnsi="Times New Roman" w:cs="Times New Roman" w:hint="default"/>
        <w:b w:val="0"/>
        <w:i w:val="0"/>
        <w:strike w:val="0"/>
        <w:color w:val="000000"/>
        <w:sz w:val="24"/>
        <w:u w:val="none"/>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7">
    <w:nsid w:val="3EB020A9"/>
    <w:multiLevelType w:val="hybridMultilevel"/>
    <w:tmpl w:val="655AB928"/>
    <w:lvl w:ilvl="0" w:tplc="82A8C6D0">
      <w:start w:val="1"/>
      <w:numFmt w:val="bullet"/>
      <w:lvlText w:val="• "/>
      <w:lvlJc w:val="left"/>
      <w:pPr>
        <w:ind w:left="1776" w:hanging="360"/>
      </w:pPr>
      <w:rPr>
        <w:rFonts w:ascii="Times New Roman" w:hAnsi="Times New Roman" w:cs="Times New Roman" w:hint="default"/>
        <w:b w:val="0"/>
        <w:i w:val="0"/>
        <w:strike w:val="0"/>
        <w:color w:val="000000"/>
        <w:sz w:val="24"/>
        <w:u w:val="none"/>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8">
    <w:nsid w:val="40245CF8"/>
    <w:multiLevelType w:val="hybridMultilevel"/>
    <w:tmpl w:val="B144221A"/>
    <w:lvl w:ilvl="0" w:tplc="9E324F4C">
      <w:start w:val="1"/>
      <w:numFmt w:val="bullet"/>
      <w:lvlText w:val="- "/>
      <w:lvlJc w:val="left"/>
      <w:pPr>
        <w:ind w:left="720" w:hanging="360"/>
      </w:pPr>
      <w:rPr>
        <w:rFonts w:ascii="Arial" w:hAnsi="Arial" w:cs="Arial" w:hint="default"/>
        <w:b w:val="0"/>
        <w:i w:val="0"/>
        <w:strike w:val="0"/>
        <w:color w:val="000000"/>
        <w:sz w:val="18"/>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31E1F9B"/>
    <w:multiLevelType w:val="hybridMultilevel"/>
    <w:tmpl w:val="8578B5F6"/>
    <w:lvl w:ilvl="0" w:tplc="850CAC96">
      <w:start w:val="422"/>
      <w:numFmt w:val="bullet"/>
      <w:lvlText w:val="-"/>
      <w:lvlJc w:val="left"/>
      <w:pPr>
        <w:ind w:left="940" w:hanging="360"/>
      </w:pPr>
      <w:rPr>
        <w:rFonts w:ascii="Arial" w:eastAsia="Calibri" w:hAnsi="Arial" w:cs="Arial"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20">
    <w:nsid w:val="45C27277"/>
    <w:multiLevelType w:val="hybridMultilevel"/>
    <w:tmpl w:val="284AFF3A"/>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1">
    <w:nsid w:val="465E4F6B"/>
    <w:multiLevelType w:val="multilevel"/>
    <w:tmpl w:val="D5BC3466"/>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1080"/>
        </w:tabs>
        <w:ind w:left="792" w:hanging="432"/>
      </w:pPr>
      <w:rPr>
        <w:rFonts w:hint="default"/>
      </w:rPr>
    </w:lvl>
    <w:lvl w:ilvl="2">
      <w:start w:val="1"/>
      <w:numFmt w:val="decimal"/>
      <w:pStyle w:val="Titre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i/>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2">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3">
    <w:nsid w:val="4FCE4DDC"/>
    <w:multiLevelType w:val="hybridMultilevel"/>
    <w:tmpl w:val="6EDA09A6"/>
    <w:lvl w:ilvl="0" w:tplc="040C0001">
      <w:start w:val="1"/>
      <w:numFmt w:val="bullet"/>
      <w:lvlText w:val=""/>
      <w:lvlJc w:val="left"/>
      <w:pPr>
        <w:ind w:left="1068" w:hanging="360"/>
      </w:pPr>
      <w:rPr>
        <w:rFonts w:ascii="Symbol" w:hAnsi="Symbol" w:hint="default"/>
        <w:b w:val="0"/>
        <w:i w:val="0"/>
        <w:strike w:val="0"/>
        <w:color w:val="000000"/>
        <w:sz w:val="18"/>
        <w:u w:val="none"/>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nsid w:val="53E77A03"/>
    <w:multiLevelType w:val="hybridMultilevel"/>
    <w:tmpl w:val="42EE379E"/>
    <w:lvl w:ilvl="0" w:tplc="040C0001">
      <w:start w:val="1"/>
      <w:numFmt w:val="bullet"/>
      <w:lvlText w:val=""/>
      <w:lvlJc w:val="left"/>
      <w:pPr>
        <w:ind w:left="940" w:hanging="360"/>
      </w:pPr>
      <w:rPr>
        <w:rFonts w:ascii="Symbol" w:hAnsi="Symbol" w:hint="default"/>
      </w:rPr>
    </w:lvl>
    <w:lvl w:ilvl="1" w:tplc="040C0003" w:tentative="1">
      <w:start w:val="1"/>
      <w:numFmt w:val="bullet"/>
      <w:lvlText w:val="o"/>
      <w:lvlJc w:val="left"/>
      <w:pPr>
        <w:ind w:left="1660" w:hanging="360"/>
      </w:pPr>
      <w:rPr>
        <w:rFonts w:ascii="Courier New" w:hAnsi="Courier New" w:cs="Courier New" w:hint="default"/>
      </w:rPr>
    </w:lvl>
    <w:lvl w:ilvl="2" w:tplc="040C0005" w:tentative="1">
      <w:start w:val="1"/>
      <w:numFmt w:val="bullet"/>
      <w:lvlText w:val=""/>
      <w:lvlJc w:val="left"/>
      <w:pPr>
        <w:ind w:left="2380" w:hanging="360"/>
      </w:pPr>
      <w:rPr>
        <w:rFonts w:ascii="Wingdings" w:hAnsi="Wingdings" w:hint="default"/>
      </w:rPr>
    </w:lvl>
    <w:lvl w:ilvl="3" w:tplc="040C0001" w:tentative="1">
      <w:start w:val="1"/>
      <w:numFmt w:val="bullet"/>
      <w:lvlText w:val=""/>
      <w:lvlJc w:val="left"/>
      <w:pPr>
        <w:ind w:left="3100" w:hanging="360"/>
      </w:pPr>
      <w:rPr>
        <w:rFonts w:ascii="Symbol" w:hAnsi="Symbol" w:hint="default"/>
      </w:rPr>
    </w:lvl>
    <w:lvl w:ilvl="4" w:tplc="040C0003" w:tentative="1">
      <w:start w:val="1"/>
      <w:numFmt w:val="bullet"/>
      <w:lvlText w:val="o"/>
      <w:lvlJc w:val="left"/>
      <w:pPr>
        <w:ind w:left="3820" w:hanging="360"/>
      </w:pPr>
      <w:rPr>
        <w:rFonts w:ascii="Courier New" w:hAnsi="Courier New" w:cs="Courier New" w:hint="default"/>
      </w:rPr>
    </w:lvl>
    <w:lvl w:ilvl="5" w:tplc="040C0005" w:tentative="1">
      <w:start w:val="1"/>
      <w:numFmt w:val="bullet"/>
      <w:lvlText w:val=""/>
      <w:lvlJc w:val="left"/>
      <w:pPr>
        <w:ind w:left="4540" w:hanging="360"/>
      </w:pPr>
      <w:rPr>
        <w:rFonts w:ascii="Wingdings" w:hAnsi="Wingdings" w:hint="default"/>
      </w:rPr>
    </w:lvl>
    <w:lvl w:ilvl="6" w:tplc="040C0001" w:tentative="1">
      <w:start w:val="1"/>
      <w:numFmt w:val="bullet"/>
      <w:lvlText w:val=""/>
      <w:lvlJc w:val="left"/>
      <w:pPr>
        <w:ind w:left="5260" w:hanging="360"/>
      </w:pPr>
      <w:rPr>
        <w:rFonts w:ascii="Symbol" w:hAnsi="Symbol" w:hint="default"/>
      </w:rPr>
    </w:lvl>
    <w:lvl w:ilvl="7" w:tplc="040C0003" w:tentative="1">
      <w:start w:val="1"/>
      <w:numFmt w:val="bullet"/>
      <w:lvlText w:val="o"/>
      <w:lvlJc w:val="left"/>
      <w:pPr>
        <w:ind w:left="5980" w:hanging="360"/>
      </w:pPr>
      <w:rPr>
        <w:rFonts w:ascii="Courier New" w:hAnsi="Courier New" w:cs="Courier New" w:hint="default"/>
      </w:rPr>
    </w:lvl>
    <w:lvl w:ilvl="8" w:tplc="040C0005" w:tentative="1">
      <w:start w:val="1"/>
      <w:numFmt w:val="bullet"/>
      <w:lvlText w:val=""/>
      <w:lvlJc w:val="left"/>
      <w:pPr>
        <w:ind w:left="6700" w:hanging="360"/>
      </w:pPr>
      <w:rPr>
        <w:rFonts w:ascii="Wingdings" w:hAnsi="Wingdings" w:hint="default"/>
      </w:rPr>
    </w:lvl>
  </w:abstractNum>
  <w:abstractNum w:abstractNumId="25">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D083361"/>
    <w:multiLevelType w:val="hybridMultilevel"/>
    <w:tmpl w:val="A882ED52"/>
    <w:lvl w:ilvl="0" w:tplc="9E324F4C">
      <w:start w:val="1"/>
      <w:numFmt w:val="bullet"/>
      <w:lvlText w:val="- "/>
      <w:lvlJc w:val="left"/>
      <w:pPr>
        <w:ind w:left="1428" w:hanging="360"/>
      </w:pPr>
      <w:rPr>
        <w:rFonts w:ascii="Arial" w:hAnsi="Arial" w:cs="Arial" w:hint="default"/>
        <w:b w:val="0"/>
        <w:i w:val="0"/>
        <w:strike w:val="0"/>
        <w:color w:val="000000"/>
        <w:sz w:val="18"/>
        <w:u w:val="none"/>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7">
    <w:nsid w:val="5F5936CA"/>
    <w:multiLevelType w:val="hybridMultilevel"/>
    <w:tmpl w:val="691E3A74"/>
    <w:lvl w:ilvl="0" w:tplc="F33E1330">
      <w:start w:val="2"/>
      <w:numFmt w:val="bullet"/>
      <w:lvlText w:val="-"/>
      <w:lvlJc w:val="left"/>
      <w:pPr>
        <w:tabs>
          <w:tab w:val="num" w:pos="750"/>
        </w:tabs>
        <w:ind w:left="750" w:hanging="390"/>
      </w:pPr>
      <w:rPr>
        <w:rFonts w:ascii="Times New Roman" w:eastAsia="Times"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60961960"/>
    <w:multiLevelType w:val="hybridMultilevel"/>
    <w:tmpl w:val="55B8CED6"/>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3D6469B"/>
    <w:multiLevelType w:val="hybridMultilevel"/>
    <w:tmpl w:val="CB867C72"/>
    <w:lvl w:ilvl="0" w:tplc="9E324F4C">
      <w:start w:val="1"/>
      <w:numFmt w:val="bullet"/>
      <w:lvlText w:val="- "/>
      <w:lvlJc w:val="left"/>
      <w:pPr>
        <w:ind w:left="720" w:hanging="360"/>
      </w:pPr>
      <w:rPr>
        <w:rFonts w:ascii="Arial" w:hAnsi="Arial" w:cs="Arial" w:hint="default"/>
        <w:b w:val="0"/>
        <w:i w:val="0"/>
        <w:strike w:val="0"/>
        <w:color w:val="000000"/>
        <w:sz w:val="18"/>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C676B5A"/>
    <w:multiLevelType w:val="hybridMultilevel"/>
    <w:tmpl w:val="61EE58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6DF05C2F"/>
    <w:multiLevelType w:val="hybridMultilevel"/>
    <w:tmpl w:val="9C6A2968"/>
    <w:lvl w:ilvl="0" w:tplc="82A8C6D0">
      <w:start w:val="1"/>
      <w:numFmt w:val="bullet"/>
      <w:lvlText w:val="• "/>
      <w:lvlJc w:val="left"/>
      <w:pPr>
        <w:ind w:left="720" w:hanging="360"/>
      </w:pPr>
      <w:rPr>
        <w:rFonts w:ascii="Times New Roman" w:hAnsi="Times New Roman" w:cs="Times New Roman" w:hint="default"/>
        <w:b w:val="0"/>
        <w:i w:val="0"/>
        <w:strike w:val="0"/>
        <w:color w:val="000000"/>
        <w:sz w:val="24"/>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29D50BD"/>
    <w:multiLevelType w:val="hybridMultilevel"/>
    <w:tmpl w:val="348A0774"/>
    <w:lvl w:ilvl="0" w:tplc="E144AC06">
      <w:start w:val="4"/>
      <w:numFmt w:val="bullet"/>
      <w:lvlText w:val="-"/>
      <w:lvlJc w:val="left"/>
      <w:pPr>
        <w:tabs>
          <w:tab w:val="num" w:pos="580"/>
        </w:tabs>
        <w:ind w:left="580" w:hanging="360"/>
      </w:pPr>
      <w:rPr>
        <w:rFonts w:ascii="Arial" w:eastAsia="Times New Roman" w:hAnsi="Arial" w:cs="Arial" w:hint="default"/>
      </w:rPr>
    </w:lvl>
    <w:lvl w:ilvl="1" w:tplc="040C0003" w:tentative="1">
      <w:start w:val="1"/>
      <w:numFmt w:val="bullet"/>
      <w:lvlText w:val="o"/>
      <w:lvlJc w:val="left"/>
      <w:pPr>
        <w:tabs>
          <w:tab w:val="num" w:pos="1300"/>
        </w:tabs>
        <w:ind w:left="1300" w:hanging="360"/>
      </w:pPr>
      <w:rPr>
        <w:rFonts w:ascii="Courier New" w:hAnsi="Courier New" w:cs="Courier New" w:hint="default"/>
      </w:rPr>
    </w:lvl>
    <w:lvl w:ilvl="2" w:tplc="040C0005" w:tentative="1">
      <w:start w:val="1"/>
      <w:numFmt w:val="bullet"/>
      <w:lvlText w:val=""/>
      <w:lvlJc w:val="left"/>
      <w:pPr>
        <w:tabs>
          <w:tab w:val="num" w:pos="2020"/>
        </w:tabs>
        <w:ind w:left="2020" w:hanging="360"/>
      </w:pPr>
      <w:rPr>
        <w:rFonts w:ascii="Wingdings" w:hAnsi="Wingdings" w:hint="default"/>
      </w:rPr>
    </w:lvl>
    <w:lvl w:ilvl="3" w:tplc="040C0001" w:tentative="1">
      <w:start w:val="1"/>
      <w:numFmt w:val="bullet"/>
      <w:lvlText w:val=""/>
      <w:lvlJc w:val="left"/>
      <w:pPr>
        <w:tabs>
          <w:tab w:val="num" w:pos="2740"/>
        </w:tabs>
        <w:ind w:left="2740" w:hanging="360"/>
      </w:pPr>
      <w:rPr>
        <w:rFonts w:ascii="Symbol" w:hAnsi="Symbol" w:hint="default"/>
      </w:rPr>
    </w:lvl>
    <w:lvl w:ilvl="4" w:tplc="040C0003" w:tentative="1">
      <w:start w:val="1"/>
      <w:numFmt w:val="bullet"/>
      <w:lvlText w:val="o"/>
      <w:lvlJc w:val="left"/>
      <w:pPr>
        <w:tabs>
          <w:tab w:val="num" w:pos="3460"/>
        </w:tabs>
        <w:ind w:left="3460" w:hanging="360"/>
      </w:pPr>
      <w:rPr>
        <w:rFonts w:ascii="Courier New" w:hAnsi="Courier New" w:cs="Courier New" w:hint="default"/>
      </w:rPr>
    </w:lvl>
    <w:lvl w:ilvl="5" w:tplc="040C0005" w:tentative="1">
      <w:start w:val="1"/>
      <w:numFmt w:val="bullet"/>
      <w:lvlText w:val=""/>
      <w:lvlJc w:val="left"/>
      <w:pPr>
        <w:tabs>
          <w:tab w:val="num" w:pos="4180"/>
        </w:tabs>
        <w:ind w:left="4180" w:hanging="360"/>
      </w:pPr>
      <w:rPr>
        <w:rFonts w:ascii="Wingdings" w:hAnsi="Wingdings" w:hint="default"/>
      </w:rPr>
    </w:lvl>
    <w:lvl w:ilvl="6" w:tplc="040C0001" w:tentative="1">
      <w:start w:val="1"/>
      <w:numFmt w:val="bullet"/>
      <w:lvlText w:val=""/>
      <w:lvlJc w:val="left"/>
      <w:pPr>
        <w:tabs>
          <w:tab w:val="num" w:pos="4900"/>
        </w:tabs>
        <w:ind w:left="4900" w:hanging="360"/>
      </w:pPr>
      <w:rPr>
        <w:rFonts w:ascii="Symbol" w:hAnsi="Symbol" w:hint="default"/>
      </w:rPr>
    </w:lvl>
    <w:lvl w:ilvl="7" w:tplc="040C0003" w:tentative="1">
      <w:start w:val="1"/>
      <w:numFmt w:val="bullet"/>
      <w:lvlText w:val="o"/>
      <w:lvlJc w:val="left"/>
      <w:pPr>
        <w:tabs>
          <w:tab w:val="num" w:pos="5620"/>
        </w:tabs>
        <w:ind w:left="5620" w:hanging="360"/>
      </w:pPr>
      <w:rPr>
        <w:rFonts w:ascii="Courier New" w:hAnsi="Courier New" w:cs="Courier New" w:hint="default"/>
      </w:rPr>
    </w:lvl>
    <w:lvl w:ilvl="8" w:tplc="040C0005" w:tentative="1">
      <w:start w:val="1"/>
      <w:numFmt w:val="bullet"/>
      <w:lvlText w:val=""/>
      <w:lvlJc w:val="left"/>
      <w:pPr>
        <w:tabs>
          <w:tab w:val="num" w:pos="6340"/>
        </w:tabs>
        <w:ind w:left="6340" w:hanging="360"/>
      </w:pPr>
      <w:rPr>
        <w:rFonts w:ascii="Wingdings" w:hAnsi="Wingdings" w:hint="default"/>
      </w:rPr>
    </w:lvl>
  </w:abstractNum>
  <w:abstractNum w:abstractNumId="33">
    <w:nsid w:val="74FB0FBA"/>
    <w:multiLevelType w:val="hybridMultilevel"/>
    <w:tmpl w:val="E55C823E"/>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8291AC9"/>
    <w:multiLevelType w:val="hybridMultilevel"/>
    <w:tmpl w:val="70C0E980"/>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DCE0C18"/>
    <w:multiLevelType w:val="hybridMultilevel"/>
    <w:tmpl w:val="6E54E47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E2B0AD2"/>
    <w:multiLevelType w:val="hybridMultilevel"/>
    <w:tmpl w:val="B5B4612A"/>
    <w:lvl w:ilvl="0" w:tplc="850CAC96">
      <w:start w:val="42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4"/>
  </w:num>
  <w:num w:numId="2">
    <w:abstractNumId w:val="1"/>
  </w:num>
  <w:num w:numId="3">
    <w:abstractNumId w:val="22"/>
  </w:num>
  <w:num w:numId="4">
    <w:abstractNumId w:val="37"/>
  </w:num>
  <w:num w:numId="5">
    <w:abstractNumId w:val="2"/>
  </w:num>
  <w:num w:numId="6">
    <w:abstractNumId w:val="25"/>
  </w:num>
  <w:num w:numId="7">
    <w:abstractNumId w:val="21"/>
  </w:num>
  <w:num w:numId="8">
    <w:abstractNumId w:val="9"/>
  </w:num>
  <w:num w:numId="9">
    <w:abstractNumId w:val="34"/>
  </w:num>
  <w:num w:numId="10">
    <w:abstractNumId w:val="6"/>
  </w:num>
  <w:num w:numId="11">
    <w:abstractNumId w:val="15"/>
  </w:num>
  <w:num w:numId="12">
    <w:abstractNumId w:val="36"/>
  </w:num>
  <w:num w:numId="13">
    <w:abstractNumId w:val="35"/>
  </w:num>
  <w:num w:numId="14">
    <w:abstractNumId w:val="16"/>
  </w:num>
  <w:num w:numId="15">
    <w:abstractNumId w:val="33"/>
  </w:num>
  <w:num w:numId="16">
    <w:abstractNumId w:val="17"/>
  </w:num>
  <w:num w:numId="17">
    <w:abstractNumId w:val="31"/>
  </w:num>
  <w:num w:numId="18">
    <w:abstractNumId w:val="28"/>
  </w:num>
  <w:num w:numId="19">
    <w:abstractNumId w:val="7"/>
  </w:num>
  <w:num w:numId="20">
    <w:abstractNumId w:val="27"/>
  </w:num>
  <w:num w:numId="21">
    <w:abstractNumId w:val="0"/>
    <w:lvlOverride w:ilvl="0">
      <w:lvl w:ilvl="0">
        <w:start w:val="1"/>
        <w:numFmt w:val="bullet"/>
        <w:lvlText w:val="• "/>
        <w:legacy w:legacy="1" w:legacySpace="0" w:legacyIndent="0"/>
        <w:lvlJc w:val="left"/>
        <w:pPr>
          <w:ind w:left="480" w:firstLine="0"/>
        </w:pPr>
        <w:rPr>
          <w:rFonts w:ascii="Times New Roman" w:hAnsi="Times New Roman" w:cs="Times New Roman" w:hint="default"/>
          <w:b w:val="0"/>
          <w:i w:val="0"/>
          <w:strike w:val="0"/>
          <w:color w:val="000000"/>
          <w:sz w:val="24"/>
          <w:u w:val="none"/>
        </w:rPr>
      </w:lvl>
    </w:lvlOverride>
  </w:num>
  <w:num w:numId="22">
    <w:abstractNumId w:val="8"/>
  </w:num>
  <w:num w:numId="23">
    <w:abstractNumId w:val="11"/>
  </w:num>
  <w:num w:numId="24">
    <w:abstractNumId w:val="30"/>
  </w:num>
  <w:num w:numId="25">
    <w:abstractNumId w:val="10"/>
  </w:num>
  <w:num w:numId="26">
    <w:abstractNumId w:val="26"/>
  </w:num>
  <w:num w:numId="27">
    <w:abstractNumId w:val="18"/>
  </w:num>
  <w:num w:numId="28">
    <w:abstractNumId w:val="0"/>
    <w:lvlOverride w:ilvl="0">
      <w:lvl w:ilvl="0">
        <w:start w:val="1"/>
        <w:numFmt w:val="bullet"/>
        <w:lvlText w:val="• "/>
        <w:legacy w:legacy="1" w:legacySpace="0" w:legacyIndent="0"/>
        <w:lvlJc w:val="left"/>
        <w:pPr>
          <w:ind w:left="220" w:firstLine="0"/>
        </w:pPr>
        <w:rPr>
          <w:rFonts w:ascii="Times New Roman" w:hAnsi="Times New Roman" w:cs="Times New Roman" w:hint="default"/>
          <w:b w:val="0"/>
          <w:i w:val="0"/>
          <w:strike w:val="0"/>
          <w:color w:val="000000"/>
          <w:sz w:val="24"/>
          <w:u w:val="none"/>
        </w:rPr>
      </w:lvl>
    </w:lvlOverride>
  </w:num>
  <w:num w:numId="29">
    <w:abstractNumId w:val="32"/>
  </w:num>
  <w:num w:numId="30">
    <w:abstractNumId w:val="0"/>
    <w:lvlOverride w:ilvl="0">
      <w:lvl w:ilvl="0">
        <w:start w:val="1"/>
        <w:numFmt w:val="bullet"/>
        <w:lvlText w:val="- "/>
        <w:legacy w:legacy="1" w:legacySpace="0" w:legacyIndent="0"/>
        <w:lvlJc w:val="left"/>
        <w:pPr>
          <w:ind w:left="220" w:firstLine="0"/>
        </w:pPr>
        <w:rPr>
          <w:rFonts w:ascii="Times New Roman" w:hAnsi="Times New Roman" w:cs="Times New Roman" w:hint="default"/>
          <w:b w:val="0"/>
          <w:i w:val="0"/>
          <w:strike w:val="0"/>
          <w:color w:val="000000"/>
          <w:sz w:val="24"/>
          <w:u w:val="none"/>
        </w:rPr>
      </w:lvl>
    </w:lvlOverride>
  </w:num>
  <w:num w:numId="31">
    <w:abstractNumId w:val="19"/>
  </w:num>
  <w:num w:numId="32">
    <w:abstractNumId w:val="5"/>
  </w:num>
  <w:num w:numId="33">
    <w:abstractNumId w:val="12"/>
  </w:num>
  <w:num w:numId="34">
    <w:abstractNumId w:val="23"/>
  </w:num>
  <w:num w:numId="35">
    <w:abstractNumId w:val="3"/>
  </w:num>
  <w:num w:numId="36">
    <w:abstractNumId w:val="29"/>
  </w:num>
  <w:num w:numId="37">
    <w:abstractNumId w:val="13"/>
  </w:num>
  <w:num w:numId="38">
    <w:abstractNumId w:val="24"/>
  </w:num>
  <w:num w:numId="39">
    <w:abstractNumId w:val="20"/>
  </w:num>
  <w:num w:numId="40">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3DA"/>
    <w:rsid w:val="00030BC5"/>
    <w:rsid w:val="000343F2"/>
    <w:rsid w:val="00036F73"/>
    <w:rsid w:val="00041B0E"/>
    <w:rsid w:val="00044536"/>
    <w:rsid w:val="000640D7"/>
    <w:rsid w:val="000767FD"/>
    <w:rsid w:val="00081395"/>
    <w:rsid w:val="00093D5C"/>
    <w:rsid w:val="000A4190"/>
    <w:rsid w:val="000B0E47"/>
    <w:rsid w:val="000B7F59"/>
    <w:rsid w:val="000C2609"/>
    <w:rsid w:val="00121936"/>
    <w:rsid w:val="0013025C"/>
    <w:rsid w:val="00130E0A"/>
    <w:rsid w:val="0013291C"/>
    <w:rsid w:val="00142286"/>
    <w:rsid w:val="00147602"/>
    <w:rsid w:val="00187196"/>
    <w:rsid w:val="001B5266"/>
    <w:rsid w:val="001C7443"/>
    <w:rsid w:val="001D2D95"/>
    <w:rsid w:val="001E3C31"/>
    <w:rsid w:val="001E4F6A"/>
    <w:rsid w:val="001F2A58"/>
    <w:rsid w:val="001F31C6"/>
    <w:rsid w:val="002169A1"/>
    <w:rsid w:val="00220FEC"/>
    <w:rsid w:val="00221204"/>
    <w:rsid w:val="002303A7"/>
    <w:rsid w:val="00232514"/>
    <w:rsid w:val="00237854"/>
    <w:rsid w:val="002434A6"/>
    <w:rsid w:val="002439C4"/>
    <w:rsid w:val="00246C4C"/>
    <w:rsid w:val="00257FA5"/>
    <w:rsid w:val="00266B9B"/>
    <w:rsid w:val="002673E1"/>
    <w:rsid w:val="00283EE8"/>
    <w:rsid w:val="002B722D"/>
    <w:rsid w:val="002C5D9F"/>
    <w:rsid w:val="002E4658"/>
    <w:rsid w:val="002F705A"/>
    <w:rsid w:val="00321180"/>
    <w:rsid w:val="00330C47"/>
    <w:rsid w:val="0033290D"/>
    <w:rsid w:val="00333E95"/>
    <w:rsid w:val="00341A63"/>
    <w:rsid w:val="00364F7E"/>
    <w:rsid w:val="00365E82"/>
    <w:rsid w:val="00367774"/>
    <w:rsid w:val="003A0BFA"/>
    <w:rsid w:val="003B0015"/>
    <w:rsid w:val="003C0E64"/>
    <w:rsid w:val="003D0424"/>
    <w:rsid w:val="003E1B7E"/>
    <w:rsid w:val="00412821"/>
    <w:rsid w:val="00414A1A"/>
    <w:rsid w:val="00422D54"/>
    <w:rsid w:val="004354F0"/>
    <w:rsid w:val="004446EE"/>
    <w:rsid w:val="00445D62"/>
    <w:rsid w:val="00450248"/>
    <w:rsid w:val="0045038A"/>
    <w:rsid w:val="004819F6"/>
    <w:rsid w:val="0048530A"/>
    <w:rsid w:val="0049414F"/>
    <w:rsid w:val="004A23BD"/>
    <w:rsid w:val="004A5BD8"/>
    <w:rsid w:val="004C1F6F"/>
    <w:rsid w:val="004E7AFF"/>
    <w:rsid w:val="004E7D35"/>
    <w:rsid w:val="005014C2"/>
    <w:rsid w:val="00511597"/>
    <w:rsid w:val="0053779E"/>
    <w:rsid w:val="005507E5"/>
    <w:rsid w:val="005634FF"/>
    <w:rsid w:val="00593EDE"/>
    <w:rsid w:val="00597BE2"/>
    <w:rsid w:val="005C3809"/>
    <w:rsid w:val="005D6485"/>
    <w:rsid w:val="0060047C"/>
    <w:rsid w:val="00610BBC"/>
    <w:rsid w:val="00614DA0"/>
    <w:rsid w:val="0066464A"/>
    <w:rsid w:val="00671F5C"/>
    <w:rsid w:val="00677C18"/>
    <w:rsid w:val="00694322"/>
    <w:rsid w:val="006A0BB1"/>
    <w:rsid w:val="006B0DBA"/>
    <w:rsid w:val="006B43A8"/>
    <w:rsid w:val="006C67FA"/>
    <w:rsid w:val="006D254E"/>
    <w:rsid w:val="006E465F"/>
    <w:rsid w:val="006E6631"/>
    <w:rsid w:val="006F4DC2"/>
    <w:rsid w:val="00720B19"/>
    <w:rsid w:val="007427E9"/>
    <w:rsid w:val="007759C7"/>
    <w:rsid w:val="007C2CD0"/>
    <w:rsid w:val="007C3919"/>
    <w:rsid w:val="007D3314"/>
    <w:rsid w:val="007D3B0A"/>
    <w:rsid w:val="007F1B3D"/>
    <w:rsid w:val="00826BA0"/>
    <w:rsid w:val="00847B57"/>
    <w:rsid w:val="00882A97"/>
    <w:rsid w:val="008A36E1"/>
    <w:rsid w:val="008A64B6"/>
    <w:rsid w:val="008B2E32"/>
    <w:rsid w:val="008E7378"/>
    <w:rsid w:val="009156F1"/>
    <w:rsid w:val="009176C3"/>
    <w:rsid w:val="00936C33"/>
    <w:rsid w:val="00946DCC"/>
    <w:rsid w:val="00967A48"/>
    <w:rsid w:val="0097706F"/>
    <w:rsid w:val="00977DAF"/>
    <w:rsid w:val="0099019C"/>
    <w:rsid w:val="009923DA"/>
    <w:rsid w:val="009D0584"/>
    <w:rsid w:val="009D49FF"/>
    <w:rsid w:val="009E074D"/>
    <w:rsid w:val="009E7395"/>
    <w:rsid w:val="00A127C9"/>
    <w:rsid w:val="00A239F1"/>
    <w:rsid w:val="00A27142"/>
    <w:rsid w:val="00A375FC"/>
    <w:rsid w:val="00A46456"/>
    <w:rsid w:val="00A558DF"/>
    <w:rsid w:val="00A7187C"/>
    <w:rsid w:val="00A762A1"/>
    <w:rsid w:val="00A83B02"/>
    <w:rsid w:val="00A84BE5"/>
    <w:rsid w:val="00A84D0C"/>
    <w:rsid w:val="00A901E3"/>
    <w:rsid w:val="00AB2122"/>
    <w:rsid w:val="00AB5401"/>
    <w:rsid w:val="00AC2B18"/>
    <w:rsid w:val="00AC763C"/>
    <w:rsid w:val="00AD72C2"/>
    <w:rsid w:val="00AE2F4F"/>
    <w:rsid w:val="00AE5A5A"/>
    <w:rsid w:val="00AF529B"/>
    <w:rsid w:val="00B15BB5"/>
    <w:rsid w:val="00B20805"/>
    <w:rsid w:val="00B229B0"/>
    <w:rsid w:val="00B35EC7"/>
    <w:rsid w:val="00B80096"/>
    <w:rsid w:val="00BF41DE"/>
    <w:rsid w:val="00BF499B"/>
    <w:rsid w:val="00C022DC"/>
    <w:rsid w:val="00C109BF"/>
    <w:rsid w:val="00C14E6D"/>
    <w:rsid w:val="00C378CD"/>
    <w:rsid w:val="00C41897"/>
    <w:rsid w:val="00C66FD3"/>
    <w:rsid w:val="00C77A5D"/>
    <w:rsid w:val="00C82BAD"/>
    <w:rsid w:val="00C96044"/>
    <w:rsid w:val="00CF1825"/>
    <w:rsid w:val="00D10E52"/>
    <w:rsid w:val="00D318D4"/>
    <w:rsid w:val="00D37B45"/>
    <w:rsid w:val="00D52CFD"/>
    <w:rsid w:val="00D54E38"/>
    <w:rsid w:val="00D77309"/>
    <w:rsid w:val="00D852FF"/>
    <w:rsid w:val="00D918E5"/>
    <w:rsid w:val="00D97D57"/>
    <w:rsid w:val="00DE134B"/>
    <w:rsid w:val="00E049BB"/>
    <w:rsid w:val="00E1204F"/>
    <w:rsid w:val="00E126BF"/>
    <w:rsid w:val="00E15349"/>
    <w:rsid w:val="00E20CA9"/>
    <w:rsid w:val="00E34B0C"/>
    <w:rsid w:val="00E36EAE"/>
    <w:rsid w:val="00E46668"/>
    <w:rsid w:val="00E46703"/>
    <w:rsid w:val="00E56533"/>
    <w:rsid w:val="00E623B7"/>
    <w:rsid w:val="00E66D10"/>
    <w:rsid w:val="00E726EC"/>
    <w:rsid w:val="00E74AAB"/>
    <w:rsid w:val="00E83DF2"/>
    <w:rsid w:val="00EB3AD1"/>
    <w:rsid w:val="00EB3FE9"/>
    <w:rsid w:val="00ED530B"/>
    <w:rsid w:val="00F5538B"/>
    <w:rsid w:val="00F62D0A"/>
    <w:rsid w:val="00F65D9C"/>
    <w:rsid w:val="00F7202C"/>
    <w:rsid w:val="00F73AA2"/>
    <w:rsid w:val="00F912A6"/>
    <w:rsid w:val="00FA15E9"/>
    <w:rsid w:val="00FA17D3"/>
    <w:rsid w:val="00FA2ACD"/>
    <w:rsid w:val="00FB133E"/>
    <w:rsid w:val="00FB5346"/>
    <w:rsid w:val="00FD6717"/>
    <w:rsid w:val="00FF34A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footnote text" w:uiPriority="99"/>
    <w:lsdException w:name="footer" w:uiPriority="99"/>
    <w:lsdException w:name="footnote reference" w:uiPriority="99"/>
    <w:lsdException w:name="Hyperlink" w:uiPriority="99"/>
    <w:lsdException w:name="Normal (Web)" w:uiPriority="99"/>
    <w:lsdException w:name="List Paragraph" w:uiPriority="34" w:qFormat="1"/>
    <w:lsdException w:name="TOC Heading" w:uiPriority="39" w:qFormat="1"/>
  </w:latentStyles>
  <w:style w:type="paragraph" w:default="1" w:styleId="Normal">
    <w:name w:val="Normal"/>
    <w:qFormat/>
    <w:rsid w:val="00E126BF"/>
  </w:style>
  <w:style w:type="paragraph" w:styleId="Titre1">
    <w:name w:val="heading 1"/>
    <w:basedOn w:val="Normal"/>
    <w:next w:val="Normal"/>
    <w:link w:val="Titre1Car"/>
    <w:qFormat/>
    <w:rsid w:val="00321180"/>
    <w:pPr>
      <w:keepNext/>
      <w:numPr>
        <w:numId w:val="7"/>
      </w:numPr>
      <w:tabs>
        <w:tab w:val="left" w:pos="397"/>
      </w:tabs>
      <w:spacing w:line="240" w:lineRule="atLeast"/>
      <w:jc w:val="both"/>
      <w:outlineLvl w:val="0"/>
    </w:pPr>
    <w:rPr>
      <w:rFonts w:ascii="Arial" w:eastAsia="Times" w:hAnsi="Arial"/>
      <w:b/>
      <w:bCs/>
      <w:sz w:val="18"/>
      <w:szCs w:val="20"/>
    </w:rPr>
  </w:style>
  <w:style w:type="paragraph" w:styleId="Titre2">
    <w:name w:val="heading 2"/>
    <w:basedOn w:val="Normal"/>
    <w:next w:val="Normal"/>
    <w:link w:val="Titre2Car"/>
    <w:qFormat/>
    <w:rsid w:val="00321180"/>
    <w:pPr>
      <w:keepNext/>
      <w:numPr>
        <w:ilvl w:val="1"/>
        <w:numId w:val="7"/>
      </w:numPr>
      <w:tabs>
        <w:tab w:val="left" w:pos="737"/>
      </w:tabs>
      <w:spacing w:line="240" w:lineRule="atLeast"/>
      <w:jc w:val="both"/>
      <w:outlineLvl w:val="1"/>
    </w:pPr>
    <w:rPr>
      <w:rFonts w:ascii="Arial" w:eastAsia="Times" w:hAnsi="Arial"/>
      <w:sz w:val="18"/>
      <w:szCs w:val="20"/>
    </w:rPr>
  </w:style>
  <w:style w:type="paragraph" w:styleId="Titre3">
    <w:name w:val="heading 3"/>
    <w:basedOn w:val="Normal"/>
    <w:next w:val="Normal"/>
    <w:link w:val="Titre3Car"/>
    <w:qFormat/>
    <w:rsid w:val="00321180"/>
    <w:pPr>
      <w:keepNext/>
      <w:numPr>
        <w:ilvl w:val="2"/>
        <w:numId w:val="7"/>
      </w:numPr>
      <w:tabs>
        <w:tab w:val="left" w:pos="737"/>
      </w:tabs>
      <w:spacing w:line="240" w:lineRule="atLeast"/>
      <w:jc w:val="both"/>
      <w:outlineLvl w:val="2"/>
    </w:pPr>
    <w:rPr>
      <w:rFonts w:ascii="Arial" w:eastAsia="Times" w:hAnsi="Arial" w:cs="Arial"/>
      <w:bCs/>
      <w:sz w:val="18"/>
      <w:szCs w:val="26"/>
    </w:rPr>
  </w:style>
  <w:style w:type="paragraph" w:styleId="Titre4">
    <w:name w:val="heading 4"/>
    <w:basedOn w:val="Listenumros4"/>
    <w:next w:val="Normal"/>
    <w:link w:val="Titre4Car"/>
    <w:qFormat/>
    <w:rsid w:val="00321180"/>
    <w:pPr>
      <w:keepNext/>
      <w:numPr>
        <w:ilvl w:val="3"/>
      </w:numPr>
      <w:tabs>
        <w:tab w:val="num" w:pos="360"/>
        <w:tab w:val="left" w:pos="737"/>
      </w:tabs>
      <w:spacing w:line="240" w:lineRule="atLeast"/>
      <w:ind w:left="360" w:hanging="360"/>
      <w:jc w:val="both"/>
      <w:outlineLvl w:val="3"/>
    </w:pPr>
    <w:rPr>
      <w:rFonts w:ascii="Calibri" w:hAnsi="Calibr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4354F0"/>
    <w:pPr>
      <w:spacing w:line="240" w:lineRule="atLeast"/>
      <w:jc w:val="both"/>
    </w:pPr>
    <w:rPr>
      <w:rFonts w:asciiTheme="minorHAnsi" w:hAnsiTheme="minorHAnsi" w:cs="Arial"/>
      <w:sz w:val="20"/>
      <w:szCs w:val="22"/>
    </w:rPr>
  </w:style>
  <w:style w:type="paragraph" w:styleId="Paragraphedeliste">
    <w:name w:val="List Paragraph"/>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customStyle="1" w:styleId="CorpsdetexteCar">
    <w:name w:val="Corps de texte Car"/>
    <w:basedOn w:val="Policepardfaut"/>
    <w:link w:val="Corpsdetexte"/>
    <w:rsid w:val="00E15349"/>
    <w:rPr>
      <w:rFonts w:ascii="Calibri" w:hAnsi="Calibri"/>
      <w:sz w:val="20"/>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character" w:customStyle="1" w:styleId="PieddepageCar">
    <w:name w:val="Pied de page Car"/>
    <w:basedOn w:val="Policepardfaut"/>
    <w:link w:val="Pieddepage"/>
    <w:uiPriority w:val="99"/>
    <w:rsid w:val="00A84D0C"/>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paragraph" w:customStyle="1" w:styleId="Default">
    <w:name w:val="Default"/>
    <w:rsid w:val="009923DA"/>
    <w:pPr>
      <w:widowControl w:val="0"/>
      <w:autoSpaceDE w:val="0"/>
      <w:autoSpaceDN w:val="0"/>
      <w:adjustRightInd w:val="0"/>
    </w:pPr>
    <w:rPr>
      <w:rFonts w:ascii="Arial" w:hAnsi="Arial" w:cs="Arial"/>
      <w:color w:val="000000"/>
    </w:rPr>
  </w:style>
  <w:style w:type="paragraph" w:customStyle="1" w:styleId="pucepoint">
    <w:name w:val="puce point"/>
    <w:basedOn w:val="Normal"/>
    <w:rsid w:val="00237854"/>
    <w:pPr>
      <w:numPr>
        <w:numId w:val="6"/>
      </w:numPr>
      <w:spacing w:line="240" w:lineRule="atLeast"/>
      <w:jc w:val="both"/>
    </w:pPr>
    <w:rPr>
      <w:rFonts w:ascii="Arial" w:eastAsia="Times" w:hAnsi="Arial"/>
      <w:sz w:val="18"/>
      <w:szCs w:val="20"/>
    </w:rPr>
  </w:style>
  <w:style w:type="paragraph" w:styleId="TM2">
    <w:name w:val="toc 2"/>
    <w:basedOn w:val="Normal"/>
    <w:next w:val="Normal"/>
    <w:autoRedefine/>
    <w:uiPriority w:val="39"/>
    <w:rsid w:val="003C0E64"/>
    <w:pPr>
      <w:spacing w:after="100"/>
      <w:ind w:left="240"/>
    </w:pPr>
  </w:style>
  <w:style w:type="paragraph" w:styleId="NormalWeb">
    <w:name w:val="Normal (Web)"/>
    <w:basedOn w:val="Normal"/>
    <w:uiPriority w:val="99"/>
    <w:rsid w:val="00321180"/>
  </w:style>
  <w:style w:type="character" w:customStyle="1" w:styleId="Titre1Car">
    <w:name w:val="Titre 1 Car"/>
    <w:basedOn w:val="Policepardfaut"/>
    <w:link w:val="Titre1"/>
    <w:rsid w:val="00321180"/>
    <w:rPr>
      <w:rFonts w:ascii="Arial" w:eastAsia="Times" w:hAnsi="Arial"/>
      <w:b/>
      <w:bCs/>
      <w:sz w:val="18"/>
      <w:szCs w:val="20"/>
    </w:rPr>
  </w:style>
  <w:style w:type="character" w:customStyle="1" w:styleId="Titre2Car">
    <w:name w:val="Titre 2 Car"/>
    <w:basedOn w:val="Policepardfaut"/>
    <w:link w:val="Titre2"/>
    <w:rsid w:val="00321180"/>
    <w:rPr>
      <w:rFonts w:ascii="Arial" w:eastAsia="Times" w:hAnsi="Arial"/>
      <w:sz w:val="18"/>
      <w:szCs w:val="20"/>
    </w:rPr>
  </w:style>
  <w:style w:type="character" w:customStyle="1" w:styleId="Titre3Car">
    <w:name w:val="Titre 3 Car"/>
    <w:basedOn w:val="Policepardfaut"/>
    <w:link w:val="Titre3"/>
    <w:rsid w:val="00321180"/>
    <w:rPr>
      <w:rFonts w:ascii="Arial" w:eastAsia="Times" w:hAnsi="Arial" w:cs="Arial"/>
      <w:bCs/>
      <w:sz w:val="18"/>
      <w:szCs w:val="26"/>
    </w:rPr>
  </w:style>
  <w:style w:type="character" w:customStyle="1" w:styleId="Titre4Car">
    <w:name w:val="Titre 4 Car"/>
    <w:basedOn w:val="Policepardfaut"/>
    <w:link w:val="Titre4"/>
    <w:rsid w:val="00321180"/>
    <w:rPr>
      <w:rFonts w:ascii="Calibri" w:hAnsi="Calibri"/>
      <w:iCs/>
      <w:sz w:val="20"/>
      <w:szCs w:val="20"/>
    </w:rPr>
  </w:style>
  <w:style w:type="paragraph" w:customStyle="1" w:styleId="default0">
    <w:name w:val="default"/>
    <w:basedOn w:val="Normal"/>
    <w:rsid w:val="00321180"/>
    <w:rPr>
      <w:rFonts w:ascii="EUAlbertina" w:hAnsi="EUAlbertina"/>
      <w:color w:val="000000"/>
    </w:rPr>
  </w:style>
  <w:style w:type="paragraph" w:customStyle="1" w:styleId="CelluleIntitul">
    <w:name w:val="Cellule Intitulé"/>
    <w:rsid w:val="00321180"/>
    <w:pPr>
      <w:widowControl w:val="0"/>
      <w:suppressAutoHyphens/>
      <w:autoSpaceDE w:val="0"/>
      <w:autoSpaceDN w:val="0"/>
      <w:adjustRightInd w:val="0"/>
      <w:spacing w:line="280" w:lineRule="atLeast"/>
      <w:jc w:val="center"/>
    </w:pPr>
    <w:rPr>
      <w:color w:val="000000"/>
      <w:w w:val="0"/>
    </w:rPr>
  </w:style>
  <w:style w:type="paragraph" w:styleId="Listenumros4">
    <w:name w:val="List Number 4"/>
    <w:basedOn w:val="Normal"/>
    <w:rsid w:val="00321180"/>
    <w:pPr>
      <w:tabs>
        <w:tab w:val="num" w:pos="360"/>
      </w:tabs>
      <w:ind w:left="360" w:hanging="360"/>
      <w:contextualSpacing/>
    </w:pPr>
  </w:style>
  <w:style w:type="paragraph" w:styleId="TM1">
    <w:name w:val="toc 1"/>
    <w:basedOn w:val="Normal"/>
    <w:next w:val="Normal"/>
    <w:autoRedefine/>
    <w:uiPriority w:val="39"/>
    <w:rsid w:val="004E7D35"/>
    <w:pPr>
      <w:spacing w:after="100"/>
    </w:pPr>
  </w:style>
  <w:style w:type="paragraph" w:styleId="TM3">
    <w:name w:val="toc 3"/>
    <w:basedOn w:val="Normal"/>
    <w:next w:val="Normal"/>
    <w:autoRedefine/>
    <w:uiPriority w:val="39"/>
    <w:rsid w:val="004E7D35"/>
    <w:pPr>
      <w:spacing w:after="100"/>
      <w:ind w:left="480"/>
    </w:pPr>
  </w:style>
  <w:style w:type="paragraph" w:styleId="TM4">
    <w:name w:val="toc 4"/>
    <w:basedOn w:val="Normal"/>
    <w:next w:val="Normal"/>
    <w:autoRedefine/>
    <w:uiPriority w:val="39"/>
    <w:rsid w:val="004E7D35"/>
    <w:pPr>
      <w:spacing w:after="100"/>
      <w:ind w:left="720"/>
    </w:pPr>
  </w:style>
  <w:style w:type="paragraph" w:styleId="En-ttedetabledesmatires">
    <w:name w:val="TOC Heading"/>
    <w:basedOn w:val="Titre1"/>
    <w:next w:val="Normal"/>
    <w:uiPriority w:val="39"/>
    <w:unhideWhenUsed/>
    <w:qFormat/>
    <w:rsid w:val="004E7D35"/>
    <w:pPr>
      <w:keepLines/>
      <w:numPr>
        <w:numId w:val="0"/>
      </w:numPr>
      <w:tabs>
        <w:tab w:val="clear" w:pos="397"/>
      </w:tabs>
      <w:spacing w:before="480" w:line="276" w:lineRule="auto"/>
      <w:jc w:val="left"/>
      <w:outlineLvl w:val="9"/>
    </w:pPr>
    <w:rPr>
      <w:rFonts w:asciiTheme="majorHAnsi" w:eastAsiaTheme="majorEastAsia" w:hAnsiTheme="majorHAnsi" w:cstheme="majorBidi"/>
      <w:color w:val="B5552D" w:themeColor="accent1" w:themeShade="BF"/>
      <w:sz w:val="28"/>
      <w:szCs w:val="28"/>
    </w:rPr>
  </w:style>
  <w:style w:type="character" w:styleId="Lienhypertexte">
    <w:name w:val="Hyperlink"/>
    <w:basedOn w:val="Policepardfaut"/>
    <w:uiPriority w:val="99"/>
    <w:unhideWhenUsed/>
    <w:rsid w:val="004E7D35"/>
    <w:rPr>
      <w:color w:val="0000FF" w:themeColor="hyperlink"/>
      <w:u w:val="single"/>
    </w:rPr>
  </w:style>
  <w:style w:type="paragraph" w:customStyle="1" w:styleId="Service">
    <w:name w:val="Service"/>
    <w:basedOn w:val="Normal"/>
    <w:next w:val="Normal"/>
    <w:rsid w:val="00AE5A5A"/>
    <w:pPr>
      <w:spacing w:line="240" w:lineRule="atLeast"/>
    </w:pPr>
    <w:rPr>
      <w:rFonts w:ascii="Arial" w:eastAsia="Times" w:hAnsi="Arial"/>
      <w:bCs/>
      <w:sz w:val="18"/>
      <w:szCs w:val="20"/>
    </w:rPr>
  </w:style>
  <w:style w:type="paragraph" w:customStyle="1" w:styleId="pucetiret">
    <w:name w:val="puce tiret"/>
    <w:basedOn w:val="Normal"/>
    <w:rsid w:val="00AE5A5A"/>
    <w:pPr>
      <w:numPr>
        <w:numId w:val="8"/>
      </w:numPr>
      <w:tabs>
        <w:tab w:val="clear" w:pos="1437"/>
        <w:tab w:val="num" w:pos="1134"/>
      </w:tabs>
      <w:spacing w:line="240" w:lineRule="atLeast"/>
      <w:ind w:left="1134" w:hanging="352"/>
      <w:jc w:val="both"/>
    </w:pPr>
    <w:rPr>
      <w:rFonts w:ascii="Arial" w:eastAsia="Times" w:hAnsi="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toc 1" w:uiPriority="39"/>
    <w:lsdException w:name="toc 2" w:uiPriority="39"/>
    <w:lsdException w:name="toc 3" w:uiPriority="39"/>
    <w:lsdException w:name="toc 4" w:uiPriority="39"/>
    <w:lsdException w:name="footnote text" w:uiPriority="99"/>
    <w:lsdException w:name="footer" w:uiPriority="99"/>
    <w:lsdException w:name="footnote reference" w:uiPriority="99"/>
    <w:lsdException w:name="Hyperlink" w:uiPriority="99"/>
    <w:lsdException w:name="Normal (Web)" w:uiPriority="99"/>
    <w:lsdException w:name="List Paragraph" w:uiPriority="34" w:qFormat="1"/>
    <w:lsdException w:name="TOC Heading" w:uiPriority="39" w:qFormat="1"/>
  </w:latentStyles>
  <w:style w:type="paragraph" w:default="1" w:styleId="Normal">
    <w:name w:val="Normal"/>
    <w:qFormat/>
    <w:rsid w:val="00E126BF"/>
  </w:style>
  <w:style w:type="paragraph" w:styleId="Titre1">
    <w:name w:val="heading 1"/>
    <w:basedOn w:val="Normal"/>
    <w:next w:val="Normal"/>
    <w:link w:val="Titre1Car"/>
    <w:qFormat/>
    <w:rsid w:val="00321180"/>
    <w:pPr>
      <w:keepNext/>
      <w:numPr>
        <w:numId w:val="7"/>
      </w:numPr>
      <w:tabs>
        <w:tab w:val="left" w:pos="397"/>
      </w:tabs>
      <w:spacing w:line="240" w:lineRule="atLeast"/>
      <w:jc w:val="both"/>
      <w:outlineLvl w:val="0"/>
    </w:pPr>
    <w:rPr>
      <w:rFonts w:ascii="Arial" w:eastAsia="Times" w:hAnsi="Arial"/>
      <w:b/>
      <w:bCs/>
      <w:sz w:val="18"/>
      <w:szCs w:val="20"/>
    </w:rPr>
  </w:style>
  <w:style w:type="paragraph" w:styleId="Titre2">
    <w:name w:val="heading 2"/>
    <w:basedOn w:val="Normal"/>
    <w:next w:val="Normal"/>
    <w:link w:val="Titre2Car"/>
    <w:qFormat/>
    <w:rsid w:val="00321180"/>
    <w:pPr>
      <w:keepNext/>
      <w:numPr>
        <w:ilvl w:val="1"/>
        <w:numId w:val="7"/>
      </w:numPr>
      <w:tabs>
        <w:tab w:val="left" w:pos="737"/>
      </w:tabs>
      <w:spacing w:line="240" w:lineRule="atLeast"/>
      <w:jc w:val="both"/>
      <w:outlineLvl w:val="1"/>
    </w:pPr>
    <w:rPr>
      <w:rFonts w:ascii="Arial" w:eastAsia="Times" w:hAnsi="Arial"/>
      <w:sz w:val="18"/>
      <w:szCs w:val="20"/>
    </w:rPr>
  </w:style>
  <w:style w:type="paragraph" w:styleId="Titre3">
    <w:name w:val="heading 3"/>
    <w:basedOn w:val="Normal"/>
    <w:next w:val="Normal"/>
    <w:link w:val="Titre3Car"/>
    <w:qFormat/>
    <w:rsid w:val="00321180"/>
    <w:pPr>
      <w:keepNext/>
      <w:numPr>
        <w:ilvl w:val="2"/>
        <w:numId w:val="7"/>
      </w:numPr>
      <w:tabs>
        <w:tab w:val="left" w:pos="737"/>
      </w:tabs>
      <w:spacing w:line="240" w:lineRule="atLeast"/>
      <w:jc w:val="both"/>
      <w:outlineLvl w:val="2"/>
    </w:pPr>
    <w:rPr>
      <w:rFonts w:ascii="Arial" w:eastAsia="Times" w:hAnsi="Arial" w:cs="Arial"/>
      <w:bCs/>
      <w:sz w:val="18"/>
      <w:szCs w:val="26"/>
    </w:rPr>
  </w:style>
  <w:style w:type="paragraph" w:styleId="Titre4">
    <w:name w:val="heading 4"/>
    <w:basedOn w:val="Listenumros4"/>
    <w:next w:val="Normal"/>
    <w:link w:val="Titre4Car"/>
    <w:qFormat/>
    <w:rsid w:val="00321180"/>
    <w:pPr>
      <w:keepNext/>
      <w:numPr>
        <w:ilvl w:val="3"/>
      </w:numPr>
      <w:tabs>
        <w:tab w:val="num" w:pos="360"/>
        <w:tab w:val="left" w:pos="737"/>
      </w:tabs>
      <w:spacing w:line="240" w:lineRule="atLeast"/>
      <w:ind w:left="360" w:hanging="360"/>
      <w:jc w:val="both"/>
      <w:outlineLvl w:val="3"/>
    </w:pPr>
    <w:rPr>
      <w:rFonts w:ascii="Calibri" w:hAnsi="Calibr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4354F0"/>
    <w:pPr>
      <w:spacing w:line="240" w:lineRule="atLeast"/>
      <w:jc w:val="both"/>
    </w:pPr>
    <w:rPr>
      <w:rFonts w:asciiTheme="minorHAnsi" w:hAnsiTheme="minorHAnsi" w:cs="Arial"/>
      <w:sz w:val="20"/>
      <w:szCs w:val="22"/>
    </w:rPr>
  </w:style>
  <w:style w:type="paragraph" w:styleId="Paragraphedeliste">
    <w:name w:val="List Paragraph"/>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customStyle="1" w:styleId="CorpsdetexteCar">
    <w:name w:val="Corps de texte Car"/>
    <w:basedOn w:val="Policepardfaut"/>
    <w:link w:val="Corpsdetexte"/>
    <w:rsid w:val="00E15349"/>
    <w:rPr>
      <w:rFonts w:ascii="Calibri" w:hAnsi="Calibri"/>
      <w:sz w:val="20"/>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uiPriority w:val="99"/>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uiPriority w:val="99"/>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character" w:customStyle="1" w:styleId="PieddepageCar">
    <w:name w:val="Pied de page Car"/>
    <w:basedOn w:val="Policepardfaut"/>
    <w:link w:val="Pieddepage"/>
    <w:uiPriority w:val="99"/>
    <w:rsid w:val="00A84D0C"/>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paragraph" w:customStyle="1" w:styleId="Default">
    <w:name w:val="Default"/>
    <w:rsid w:val="009923DA"/>
    <w:pPr>
      <w:widowControl w:val="0"/>
      <w:autoSpaceDE w:val="0"/>
      <w:autoSpaceDN w:val="0"/>
      <w:adjustRightInd w:val="0"/>
    </w:pPr>
    <w:rPr>
      <w:rFonts w:ascii="Arial" w:hAnsi="Arial" w:cs="Arial"/>
      <w:color w:val="000000"/>
    </w:rPr>
  </w:style>
  <w:style w:type="paragraph" w:customStyle="1" w:styleId="pucepoint">
    <w:name w:val="puce point"/>
    <w:basedOn w:val="Normal"/>
    <w:rsid w:val="00237854"/>
    <w:pPr>
      <w:numPr>
        <w:numId w:val="6"/>
      </w:numPr>
      <w:spacing w:line="240" w:lineRule="atLeast"/>
      <w:jc w:val="both"/>
    </w:pPr>
    <w:rPr>
      <w:rFonts w:ascii="Arial" w:eastAsia="Times" w:hAnsi="Arial"/>
      <w:sz w:val="18"/>
      <w:szCs w:val="20"/>
    </w:rPr>
  </w:style>
  <w:style w:type="paragraph" w:styleId="TM2">
    <w:name w:val="toc 2"/>
    <w:basedOn w:val="Normal"/>
    <w:next w:val="Normal"/>
    <w:autoRedefine/>
    <w:uiPriority w:val="39"/>
    <w:rsid w:val="003C0E64"/>
    <w:pPr>
      <w:spacing w:after="100"/>
      <w:ind w:left="240"/>
    </w:pPr>
  </w:style>
  <w:style w:type="paragraph" w:styleId="NormalWeb">
    <w:name w:val="Normal (Web)"/>
    <w:basedOn w:val="Normal"/>
    <w:uiPriority w:val="99"/>
    <w:rsid w:val="00321180"/>
  </w:style>
  <w:style w:type="character" w:customStyle="1" w:styleId="Titre1Car">
    <w:name w:val="Titre 1 Car"/>
    <w:basedOn w:val="Policepardfaut"/>
    <w:link w:val="Titre1"/>
    <w:rsid w:val="00321180"/>
    <w:rPr>
      <w:rFonts w:ascii="Arial" w:eastAsia="Times" w:hAnsi="Arial"/>
      <w:b/>
      <w:bCs/>
      <w:sz w:val="18"/>
      <w:szCs w:val="20"/>
    </w:rPr>
  </w:style>
  <w:style w:type="character" w:customStyle="1" w:styleId="Titre2Car">
    <w:name w:val="Titre 2 Car"/>
    <w:basedOn w:val="Policepardfaut"/>
    <w:link w:val="Titre2"/>
    <w:rsid w:val="00321180"/>
    <w:rPr>
      <w:rFonts w:ascii="Arial" w:eastAsia="Times" w:hAnsi="Arial"/>
      <w:sz w:val="18"/>
      <w:szCs w:val="20"/>
    </w:rPr>
  </w:style>
  <w:style w:type="character" w:customStyle="1" w:styleId="Titre3Car">
    <w:name w:val="Titre 3 Car"/>
    <w:basedOn w:val="Policepardfaut"/>
    <w:link w:val="Titre3"/>
    <w:rsid w:val="00321180"/>
    <w:rPr>
      <w:rFonts w:ascii="Arial" w:eastAsia="Times" w:hAnsi="Arial" w:cs="Arial"/>
      <w:bCs/>
      <w:sz w:val="18"/>
      <w:szCs w:val="26"/>
    </w:rPr>
  </w:style>
  <w:style w:type="character" w:customStyle="1" w:styleId="Titre4Car">
    <w:name w:val="Titre 4 Car"/>
    <w:basedOn w:val="Policepardfaut"/>
    <w:link w:val="Titre4"/>
    <w:rsid w:val="00321180"/>
    <w:rPr>
      <w:rFonts w:ascii="Calibri" w:hAnsi="Calibri"/>
      <w:iCs/>
      <w:sz w:val="20"/>
      <w:szCs w:val="20"/>
    </w:rPr>
  </w:style>
  <w:style w:type="paragraph" w:customStyle="1" w:styleId="default0">
    <w:name w:val="default"/>
    <w:basedOn w:val="Normal"/>
    <w:rsid w:val="00321180"/>
    <w:rPr>
      <w:rFonts w:ascii="EUAlbertina" w:hAnsi="EUAlbertina"/>
      <w:color w:val="000000"/>
    </w:rPr>
  </w:style>
  <w:style w:type="paragraph" w:customStyle="1" w:styleId="CelluleIntitul">
    <w:name w:val="Cellule Intitulé"/>
    <w:rsid w:val="00321180"/>
    <w:pPr>
      <w:widowControl w:val="0"/>
      <w:suppressAutoHyphens/>
      <w:autoSpaceDE w:val="0"/>
      <w:autoSpaceDN w:val="0"/>
      <w:adjustRightInd w:val="0"/>
      <w:spacing w:line="280" w:lineRule="atLeast"/>
      <w:jc w:val="center"/>
    </w:pPr>
    <w:rPr>
      <w:color w:val="000000"/>
      <w:w w:val="0"/>
    </w:rPr>
  </w:style>
  <w:style w:type="paragraph" w:styleId="Listenumros4">
    <w:name w:val="List Number 4"/>
    <w:basedOn w:val="Normal"/>
    <w:rsid w:val="00321180"/>
    <w:pPr>
      <w:tabs>
        <w:tab w:val="num" w:pos="360"/>
      </w:tabs>
      <w:ind w:left="360" w:hanging="360"/>
      <w:contextualSpacing/>
    </w:pPr>
  </w:style>
  <w:style w:type="paragraph" w:styleId="TM1">
    <w:name w:val="toc 1"/>
    <w:basedOn w:val="Normal"/>
    <w:next w:val="Normal"/>
    <w:autoRedefine/>
    <w:uiPriority w:val="39"/>
    <w:rsid w:val="004E7D35"/>
    <w:pPr>
      <w:spacing w:after="100"/>
    </w:pPr>
  </w:style>
  <w:style w:type="paragraph" w:styleId="TM3">
    <w:name w:val="toc 3"/>
    <w:basedOn w:val="Normal"/>
    <w:next w:val="Normal"/>
    <w:autoRedefine/>
    <w:uiPriority w:val="39"/>
    <w:rsid w:val="004E7D35"/>
    <w:pPr>
      <w:spacing w:after="100"/>
      <w:ind w:left="480"/>
    </w:pPr>
  </w:style>
  <w:style w:type="paragraph" w:styleId="TM4">
    <w:name w:val="toc 4"/>
    <w:basedOn w:val="Normal"/>
    <w:next w:val="Normal"/>
    <w:autoRedefine/>
    <w:uiPriority w:val="39"/>
    <w:rsid w:val="004E7D35"/>
    <w:pPr>
      <w:spacing w:after="100"/>
      <w:ind w:left="720"/>
    </w:pPr>
  </w:style>
  <w:style w:type="paragraph" w:styleId="En-ttedetabledesmatires">
    <w:name w:val="TOC Heading"/>
    <w:basedOn w:val="Titre1"/>
    <w:next w:val="Normal"/>
    <w:uiPriority w:val="39"/>
    <w:unhideWhenUsed/>
    <w:qFormat/>
    <w:rsid w:val="004E7D35"/>
    <w:pPr>
      <w:keepLines/>
      <w:numPr>
        <w:numId w:val="0"/>
      </w:numPr>
      <w:tabs>
        <w:tab w:val="clear" w:pos="397"/>
      </w:tabs>
      <w:spacing w:before="480" w:line="276" w:lineRule="auto"/>
      <w:jc w:val="left"/>
      <w:outlineLvl w:val="9"/>
    </w:pPr>
    <w:rPr>
      <w:rFonts w:asciiTheme="majorHAnsi" w:eastAsiaTheme="majorEastAsia" w:hAnsiTheme="majorHAnsi" w:cstheme="majorBidi"/>
      <w:color w:val="B5552D" w:themeColor="accent1" w:themeShade="BF"/>
      <w:sz w:val="28"/>
      <w:szCs w:val="28"/>
    </w:rPr>
  </w:style>
  <w:style w:type="character" w:styleId="Lienhypertexte">
    <w:name w:val="Hyperlink"/>
    <w:basedOn w:val="Policepardfaut"/>
    <w:uiPriority w:val="99"/>
    <w:unhideWhenUsed/>
    <w:rsid w:val="004E7D35"/>
    <w:rPr>
      <w:color w:val="0000FF" w:themeColor="hyperlink"/>
      <w:u w:val="single"/>
    </w:rPr>
  </w:style>
  <w:style w:type="paragraph" w:customStyle="1" w:styleId="Service">
    <w:name w:val="Service"/>
    <w:basedOn w:val="Normal"/>
    <w:next w:val="Normal"/>
    <w:rsid w:val="00AE5A5A"/>
    <w:pPr>
      <w:spacing w:line="240" w:lineRule="atLeast"/>
    </w:pPr>
    <w:rPr>
      <w:rFonts w:ascii="Arial" w:eastAsia="Times" w:hAnsi="Arial"/>
      <w:bCs/>
      <w:sz w:val="18"/>
      <w:szCs w:val="20"/>
    </w:rPr>
  </w:style>
  <w:style w:type="paragraph" w:customStyle="1" w:styleId="pucetiret">
    <w:name w:val="puce tiret"/>
    <w:basedOn w:val="Normal"/>
    <w:rsid w:val="00AE5A5A"/>
    <w:pPr>
      <w:numPr>
        <w:numId w:val="8"/>
      </w:numPr>
      <w:tabs>
        <w:tab w:val="clear" w:pos="1437"/>
        <w:tab w:val="num" w:pos="1134"/>
      </w:tabs>
      <w:spacing w:line="240" w:lineRule="atLeast"/>
      <w:ind w:left="1134" w:hanging="352"/>
      <w:jc w:val="both"/>
    </w:pPr>
    <w:rPr>
      <w:rFonts w:ascii="Arial" w:eastAsia="Times" w:hAnsi="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28DF5C1D674A3C8251E64CA1A52CE3"/>
        <w:category>
          <w:name w:val="Général"/>
          <w:gallery w:val="placeholder"/>
        </w:category>
        <w:types>
          <w:type w:val="bbPlcHdr"/>
        </w:types>
        <w:behaviors>
          <w:behavior w:val="content"/>
        </w:behaviors>
        <w:guid w:val="{2488A95E-752B-437B-9D9F-E6D8B10E06CE}"/>
      </w:docPartPr>
      <w:docPartBody>
        <w:p w:rsidR="009B2A4E" w:rsidRDefault="00FA3605">
          <w:pPr>
            <w:pStyle w:val="1A28DF5C1D674A3C8251E64CA1A52CE3"/>
          </w:pPr>
          <w:r w:rsidRPr="00F912C8">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EUAlbertina">
    <w:altName w:val="EU Alberti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05"/>
    <w:rsid w:val="000D4ECB"/>
    <w:rsid w:val="00943CFC"/>
    <w:rsid w:val="0094569D"/>
    <w:rsid w:val="009B2A4E"/>
    <w:rsid w:val="00D77293"/>
    <w:rsid w:val="00E84E14"/>
    <w:rsid w:val="00FA36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D77293"/>
    <w:rPr>
      <w:color w:val="808080"/>
    </w:rPr>
  </w:style>
  <w:style w:type="paragraph" w:customStyle="1" w:styleId="1A28DF5C1D674A3C8251E64CA1A52CE3">
    <w:name w:val="1A28DF5C1D674A3C8251E64CA1A52CE3"/>
  </w:style>
  <w:style w:type="paragraph" w:customStyle="1" w:styleId="14A46B283D8A4AC3A635F3AFA4B173A5">
    <w:name w:val="14A46B283D8A4AC3A635F3AFA4B173A5"/>
  </w:style>
  <w:style w:type="paragraph" w:customStyle="1" w:styleId="6EB6A49AEB7F41C69046B9DF6A3BB903">
    <w:name w:val="6EB6A49AEB7F41C69046B9DF6A3BB903"/>
    <w:rsid w:val="00D77293"/>
  </w:style>
  <w:style w:type="paragraph" w:customStyle="1" w:styleId="CEEA5EF4371E43AB8DC9E6FE2E0AE24E">
    <w:name w:val="CEEA5EF4371E43AB8DC9E6FE2E0AE24E"/>
    <w:rsid w:val="00D77293"/>
  </w:style>
  <w:style w:type="paragraph" w:customStyle="1" w:styleId="111E16CD1BBC48C4B6E58F8E2EAE43CF">
    <w:name w:val="111E16CD1BBC48C4B6E58F8E2EAE43CF"/>
    <w:rsid w:val="00D772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rsid w:val="00D77293"/>
    <w:rPr>
      <w:color w:val="808080"/>
    </w:rPr>
  </w:style>
  <w:style w:type="paragraph" w:customStyle="1" w:styleId="1A28DF5C1D674A3C8251E64CA1A52CE3">
    <w:name w:val="1A28DF5C1D674A3C8251E64CA1A52CE3"/>
  </w:style>
  <w:style w:type="paragraph" w:customStyle="1" w:styleId="14A46B283D8A4AC3A635F3AFA4B173A5">
    <w:name w:val="14A46B283D8A4AC3A635F3AFA4B173A5"/>
  </w:style>
  <w:style w:type="paragraph" w:customStyle="1" w:styleId="6EB6A49AEB7F41C69046B9DF6A3BB903">
    <w:name w:val="6EB6A49AEB7F41C69046B9DF6A3BB903"/>
    <w:rsid w:val="00D77293"/>
  </w:style>
  <w:style w:type="paragraph" w:customStyle="1" w:styleId="CEEA5EF4371E43AB8DC9E6FE2E0AE24E">
    <w:name w:val="CEEA5EF4371E43AB8DC9E6FE2E0AE24E"/>
    <w:rsid w:val="00D77293"/>
  </w:style>
  <w:style w:type="paragraph" w:customStyle="1" w:styleId="111E16CD1BBC48C4B6E58F8E2EAE43CF">
    <w:name w:val="111E16CD1BBC48C4B6E58F8E2EAE43CF"/>
    <w:rsid w:val="00D772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MF_Publication_DocTypology xmlns="07b9963f-cea8-48bb-8fbe-6793a66c4b52"/>
    <TaxKeywordTaxHTField xmlns="b4a743ce-4823-43db-b20d-7d3df7f7f039">
      <Terms xmlns="http://schemas.microsoft.com/office/infopath/2007/PartnerControls"/>
    </TaxKeywordTaxHTField>
    <AMF_TaxoText_DocSource xmlns="C982FDA9-C52B-4FAF-AF49-78724E97E0EA">
      <Terms xmlns="http://schemas.microsoft.com/office/infopath/2007/PartnerControls">
        <TermInfo xmlns="http://schemas.microsoft.com/office/infopath/2007/PartnerControls">
          <TermName>Interne</TermName>
          <TermId>9d8c7cc9-3534-4572-9708-31d6127f3b6e</TermId>
        </TermInfo>
      </Terms>
    </AMF_TaxoText_DocSource>
    <AMF_Publication_ValueDate xmlns="07B9963F-CEA8-48BB-8FBE-6793A66C4B52">2016-12-05T23:00:00+00:00</AMF_Publication_ValueDate>
    <AMF_Publication_OrganismeAuthor xmlns="07B9963F-CEA8-48BB-8FBE-6793A66C4B52" xsi:nil="true"/>
    <RoutingRuleDescription xmlns="http://schemas.microsoft.com/sharepoint/v3" xsi:nil="true"/>
    <AMF_TaxoText_DocCategory xmlns="C982FDA9-C52B-4FAF-AF49-78724E97E0EA">
      <Terms xmlns="http://schemas.microsoft.com/office/infopath/2007/PartnerControls">
        <TermInfo xmlns="http://schemas.microsoft.com/office/infopath/2007/PartnerControls">
          <TermName xmlns="http://schemas.microsoft.com/office/infopath/2007/PartnerControls">Charte</TermName>
          <TermId xmlns="http://schemas.microsoft.com/office/infopath/2007/PartnerControls">b82991cb-ba9a-47b0-b5a4-7fe7508abd0b</TermId>
        </TermInfo>
      </Terms>
    </AMF_TaxoText_DocCategory>
    <AMF_Publication_Confidential xmlns="07B9963F-CEA8-48BB-8FBE-6793A66C4B52" xsi:nil="true"/>
    <_dlc_DocId xmlns="b4a743ce-4823-43db-b20d-7d3df7f7f039">WRY6JVYW45ZC-365-112</_dlc_DocId>
    <_dlc_DocIdUrl xmlns="b4a743ce-4823-43db-b20d-7d3df7f7f039">
      <Url>http://amf-et-nous/directions/DCOM/_layouts/DocIdRedir.aspx?ID=WRY6JVYW45ZC-365-112</Url>
      <Description>WRY6JVYW45ZC-365-112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AMF - Content type document" ma:contentTypeID="0x0101003038DC687F514030B461BC836B0D70CB00428DAD83E9270344A200BFC0C5B6B97D" ma:contentTypeVersion="2" ma:contentTypeDescription="Content Type Document AMF" ma:contentTypeScope="" ma:versionID="21c5b7f0fb7bf56377bb9cbf90c6eff0">
  <xsd:schema xmlns:xsd="http://www.w3.org/2001/XMLSchema" xmlns:xs="http://www.w3.org/2001/XMLSchema" xmlns:p="http://schemas.microsoft.com/office/2006/metadata/properties" xmlns:ns1="http://schemas.microsoft.com/sharepoint/v3" xmlns:ns3="b4a743ce-4823-43db-b20d-7d3df7f7f039" xmlns:ns4="07B9963F-CEA8-48BB-8FBE-6793A66C4B52" xmlns:ns7="C982FDA9-C52B-4FAF-AF49-78724E97E0EA" xmlns:ns8="07b9963f-cea8-48bb-8fbe-6793a66c4b52" targetNamespace="http://schemas.microsoft.com/office/2006/metadata/properties" ma:root="true" ma:fieldsID="9cd564e13866531794c4825bc4624ef6" ns1:_="" ns3:_="" ns4:_="" ns7:_="" ns8:_="">
    <xsd:import namespace="http://schemas.microsoft.com/sharepoint/v3"/>
    <xsd:import namespace="b4a743ce-4823-43db-b20d-7d3df7f7f039"/>
    <xsd:import namespace="07B9963F-CEA8-48BB-8FBE-6793A66C4B52"/>
    <xsd:import namespace="C982FDA9-C52B-4FAF-AF49-78724E97E0EA"/>
    <xsd:import namespace="07b9963f-cea8-48bb-8fbe-6793a66c4b52"/>
    <xsd:element name="properties">
      <xsd:complexType>
        <xsd:sequence>
          <xsd:element name="documentManagement">
            <xsd:complexType>
              <xsd:all>
                <xsd:element ref="ns3:_dlc_DocId" minOccurs="0"/>
                <xsd:element ref="ns3:_dlc_DocIdUrl" minOccurs="0"/>
                <xsd:element ref="ns3:_dlc_DocIdPersistId" minOccurs="0"/>
                <xsd:element ref="ns4:AMF_Publication_ValueDate" minOccurs="0"/>
                <xsd:element ref="ns1:RoutingRuleDescription" minOccurs="0"/>
                <xsd:element ref="ns4:AMF_Publication_OrganismeAuthor" minOccurs="0"/>
                <xsd:element ref="ns4:AMF_Publication_Confidential" minOccurs="0"/>
                <xsd:element ref="ns3:TaxKeywordTaxHTField" minOccurs="0"/>
                <xsd:element ref="ns7:AMF_TaxoText_DocCategory" minOccurs="0"/>
                <xsd:element ref="ns7:AMF_TaxoText_DocSource" minOccurs="0"/>
                <xsd:element ref="ns8:AMF_Publication_DocTypolog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743ce-4823-43db-b20d-7d3df7f7f03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Mots clés d’entreprise" ma:fieldId="{23f27201-bee3-471e-b2e7-b64fd8b7ca38}" ma:taxonomyMulti="true" ma:sspId="91ee11a6-bf76-4c31-8efe-e2fdab5a27d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B9963F-CEA8-48BB-8FBE-6793A66C4B52" elementFormDefault="qualified">
    <xsd:import namespace="http://schemas.microsoft.com/office/2006/documentManagement/types"/>
    <xsd:import namespace="http://schemas.microsoft.com/office/infopath/2007/PartnerControls"/>
    <xsd:element name="AMF_Publication_ValueDate" ma:index="11" nillable="true" ma:displayName="Date de valeur" ma:description="Date d'entrée en application du document" ma:internalName="AMF_Publication_ValueDate">
      <xsd:simpleType>
        <xsd:restriction base="dms:DateTime"/>
      </xsd:simpleType>
    </xsd:element>
    <xsd:element name="AMF_Publication_OrganismeAuthor" ma:index="13" nillable="true" ma:displayName="Organisme auteur" ma:description="Organisme auteur" ma:internalName="AMF_Publication_OrganismeAuthor">
      <xsd:simpleType>
        <xsd:restriction base="dms:Text"/>
      </xsd:simpleType>
    </xsd:element>
    <xsd:element name="AMF_Publication_Confidential" ma:index="14" nillable="true" ma:displayName="Niveau de confidentialité" ma:description="Niveau de confidentialité" ma:internalName="AMF_Publication_Confidential">
      <xsd:simpleType>
        <xsd:restriction base="dms:Choice">
          <xsd:enumeration value="Public"/>
          <xsd:enumeration value="Interne"/>
          <xsd:enumeration value="Confidentiel"/>
          <xsd:enumeration value="Confidentiel renforcé"/>
        </xsd:restriction>
      </xsd:simpleType>
    </xsd:element>
  </xsd:schema>
  <xsd:schema xmlns:xsd="http://www.w3.org/2001/XMLSchema" xmlns:xs="http://www.w3.org/2001/XMLSchema" xmlns:dms="http://schemas.microsoft.com/office/2006/documentManagement/types" xmlns:pc="http://schemas.microsoft.com/office/infopath/2007/PartnerControls" targetNamespace="C982FDA9-C52B-4FAF-AF49-78724E97E0EA" elementFormDefault="qualified">
    <xsd:import namespace="http://schemas.microsoft.com/office/2006/documentManagement/types"/>
    <xsd:import namespace="http://schemas.microsoft.com/office/infopath/2007/PartnerControls"/>
    <xsd:element name="AMF_TaxoText_DocCategory" ma:index="19" nillable="true" ma:taxonomy="true" ma:internalName="AMF_TaxoText_DocCategory" ma:taxonomyFieldName="AMF_Taxo_DocCategory" ma:displayName="Catégorie" ma:readOnly="false" ma:default="" ma:fieldId="{da21f714-3cc2-4dac-b962-8bbb247a4800}" ma:taxonomyMulti="true" ma:sspId="ca2c29be-c6df-4c7a-b466-e8eae6356a8a" ma:termSetId="3b9e95c5-d374-435d-82b9-9ccab4fd807f" ma:anchorId="00000000-0000-0000-0000-000000000000" ma:open="false" ma:isKeyword="false">
      <xsd:complexType>
        <xsd:sequence>
          <xsd:element ref="pc:Terms" minOccurs="0" maxOccurs="1"/>
        </xsd:sequence>
      </xsd:complexType>
    </xsd:element>
    <xsd:element name="AMF_TaxoText_DocSource" ma:index="21" nillable="true" ma:taxonomy="true" ma:internalName="AMF_TaxoText_DocSource" ma:taxonomyFieldName="AMF_Taxo_DocSource" ma:displayName="Source" ma:readOnly="false" ma:default="" ma:fieldId="{72cb02c8-efce-4925-b183-00781044d0a1}" ma:taxonomyMulti="true" ma:sspId="ca2c29be-c6df-4c7a-b466-e8eae6356a8a" ma:termSetId="ca6e8014-f064-458f-983b-fdafd515232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b9963f-cea8-48bb-8fbe-6793a66c4b52" elementFormDefault="qualified">
    <xsd:import namespace="http://schemas.microsoft.com/office/2006/documentManagement/types"/>
    <xsd:import namespace="http://schemas.microsoft.com/office/infopath/2007/PartnerControls"/>
    <xsd:element name="AMF_Publication_DocTypology" ma:index="22" ma:displayName="Type" ma:description="Type de document" ma:list="{97028967-34aa-4954-ad45-3c6f904cc999}" ma:internalName="AMF_Publication_DocTypology0" ma:showField="Title" ma:web="c8c3929f-0343-4d6a-8bd6-8b9882bc5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23B08-4CE1-46B1-8261-361DC71145D2}">
  <ds:schemaRefs>
    <ds:schemaRef ds:uri="http://purl.org/dc/dcmitype/"/>
    <ds:schemaRef ds:uri="http://schemas.openxmlformats.org/package/2006/metadata/core-properties"/>
    <ds:schemaRef ds:uri="b4a743ce-4823-43db-b20d-7d3df7f7f039"/>
    <ds:schemaRef ds:uri="http://purl.org/dc/terms/"/>
    <ds:schemaRef ds:uri="http://schemas.microsoft.com/office/2006/documentManagement/types"/>
    <ds:schemaRef ds:uri="http://schemas.microsoft.com/office/infopath/2007/PartnerControls"/>
    <ds:schemaRef ds:uri="07b9963f-cea8-48bb-8fbe-6793a66c4b52"/>
    <ds:schemaRef ds:uri="http://purl.org/dc/elements/1.1/"/>
    <ds:schemaRef ds:uri="http://schemas.microsoft.com/office/2006/metadata/properties"/>
    <ds:schemaRef ds:uri="C982FDA9-C52B-4FAF-AF49-78724E97E0EA"/>
    <ds:schemaRef ds:uri="07B9963F-CEA8-48BB-8FBE-6793A66C4B52"/>
    <ds:schemaRef ds:uri="http://schemas.microsoft.com/sharepoint/v3"/>
    <ds:schemaRef ds:uri="http://www.w3.org/XML/1998/namespace"/>
  </ds:schemaRefs>
</ds:datastoreItem>
</file>

<file path=customXml/itemProps2.xml><?xml version="1.0" encoding="utf-8"?>
<ds:datastoreItem xmlns:ds="http://schemas.openxmlformats.org/officeDocument/2006/customXml" ds:itemID="{15F20A0B-9548-4D02-8662-0F5F54E22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a743ce-4823-43db-b20d-7d3df7f7f039"/>
    <ds:schemaRef ds:uri="07B9963F-CEA8-48BB-8FBE-6793A66C4B52"/>
    <ds:schemaRef ds:uri="C982FDA9-C52B-4FAF-AF49-78724E97E0EA"/>
    <ds:schemaRef ds:uri="07b9963f-cea8-48bb-8fbe-6793a66c4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4.xml><?xml version="1.0" encoding="utf-8"?>
<ds:datastoreItem xmlns:ds="http://schemas.openxmlformats.org/officeDocument/2006/customXml" ds:itemID="{B25601AC-F089-43F5-AFB4-4A3F70D0CC9D}">
  <ds:schemaRefs>
    <ds:schemaRef ds:uri="http://schemas.microsoft.com/sharepoint/events"/>
  </ds:schemaRefs>
</ds:datastoreItem>
</file>

<file path=customXml/itemProps5.xml><?xml version="1.0" encoding="utf-8"?>
<ds:datastoreItem xmlns:ds="http://schemas.openxmlformats.org/officeDocument/2006/customXml" ds:itemID="{3BB56004-5F8D-464C-BF67-7B9FBEFE1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5</Pages>
  <Words>1640</Words>
  <Characters>9022</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10641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RAHUEL Lucie (Stagiaire)</dc:creator>
  <cp:lastModifiedBy>GOUBY Nathalie</cp:lastModifiedBy>
  <cp:revision>19</cp:revision>
  <cp:lastPrinted>2017-12-01T09:53:00Z</cp:lastPrinted>
  <dcterms:created xsi:type="dcterms:W3CDTF">2019-02-27T13:25:00Z</dcterms:created>
  <dcterms:modified xsi:type="dcterms:W3CDTF">2019-03-08T15:54:00Z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0x0101003038DC687F514030B461BC836B0D70CB00428DAD83E9270344A200BFC0C5B6B97D</vt:lpwstr>
  </property>
  <property fmtid="{D5CDD505-2E9C-101B-9397-08002B2CF9AE}" pid="3" name="_dlc_DocIdItemGuid">
    <vt:lpwstr>f1e1b641-a377-42d4-8c57-f0fb10f94257</vt:lpwstr>
  </property>
  <property fmtid="{D5CDD505-2E9C-101B-9397-08002B2CF9AE}" pid="4" name="AMF_Taxo_DocSource">
    <vt:lpwstr>7;#Interne|9d8c7cc9-3534-4572-9708-31d6127f3b6e</vt:lpwstr>
  </property>
  <property fmtid="{D5CDD505-2E9C-101B-9397-08002B2CF9AE}" pid="5" name="TaxKeyword">
    <vt:lpwstr>;#</vt:lpwstr>
  </property>
  <property fmtid="{D5CDD505-2E9C-101B-9397-08002B2CF9AE}" pid="6" name="AMF_Taxo_DocCategory">
    <vt:lpwstr>191;#Charte|b82991cb-ba9a-47b0-b5a4-7fe7508abd0b</vt:lpwstr>
  </property>
</Properties>
</file>