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567" w:type="dxa"/>
        <w:tblInd w:w="575" w:type="dxa"/>
        <w:tblLayout w:type="fixed"/>
        <w:tblLook w:val="04A0" w:firstRow="1" w:lastRow="0" w:firstColumn="1" w:lastColumn="0" w:noHBand="0" w:noVBand="1"/>
      </w:tblPr>
      <w:tblGrid>
        <w:gridCol w:w="1809"/>
        <w:gridCol w:w="1134"/>
        <w:gridCol w:w="1418"/>
        <w:gridCol w:w="1276"/>
        <w:gridCol w:w="1417"/>
        <w:gridCol w:w="1843"/>
        <w:gridCol w:w="1559"/>
        <w:gridCol w:w="3111"/>
      </w:tblGrid>
      <w:tr w:rsidR="007B2475" w:rsidRPr="001A67C3" w14:paraId="75A7FC47" w14:textId="77777777" w:rsidTr="002D4791">
        <w:trPr>
          <w:trHeight w:val="1687"/>
          <w:tblHeader/>
        </w:trPr>
        <w:tc>
          <w:tcPr>
            <w:tcW w:w="1809" w:type="dxa"/>
            <w:shd w:val="clear" w:color="auto" w:fill="808080" w:themeFill="background1" w:themeFillShade="80"/>
          </w:tcPr>
          <w:p w14:paraId="75A7FC3E" w14:textId="77777777"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Obligation</w:t>
            </w:r>
          </w:p>
        </w:tc>
        <w:tc>
          <w:tcPr>
            <w:tcW w:w="1134" w:type="dxa"/>
            <w:shd w:val="clear" w:color="auto" w:fill="808080" w:themeFill="background1" w:themeFillShade="80"/>
          </w:tcPr>
          <w:p w14:paraId="75A7FC3F" w14:textId="0DD96202" w:rsidR="007B2475" w:rsidRPr="002D4791" w:rsidRDefault="007B2475" w:rsidP="007B2475">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 xml:space="preserve">Intermediary in miscellaneous assets mentioned in article L. 550-1, paragraph I, subparagraph 1 of the Monetary and Financial Code, other than the initiator of the transaction </w:t>
            </w:r>
          </w:p>
        </w:tc>
        <w:tc>
          <w:tcPr>
            <w:tcW w:w="1418" w:type="dxa"/>
            <w:shd w:val="clear" w:color="auto" w:fill="808080" w:themeFill="background1" w:themeFillShade="80"/>
          </w:tcPr>
          <w:p w14:paraId="75A7FC40" w14:textId="6791934F" w:rsidR="007B2475" w:rsidRPr="002D4791" w:rsidRDefault="007B2475" w:rsidP="0025699B">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Intermediary in miscellaneous assets mentioned in article L. 550-1, paragraph I, subparagraph 1 of the Monetary and Financial Code who takes the initiative in the transaction</w:t>
            </w:r>
          </w:p>
        </w:tc>
        <w:tc>
          <w:tcPr>
            <w:tcW w:w="1276" w:type="dxa"/>
            <w:shd w:val="clear" w:color="auto" w:fill="808080" w:themeFill="background1" w:themeFillShade="80"/>
          </w:tcPr>
          <w:p w14:paraId="75A7FC41" w14:textId="56CD1A76"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Intermediary in miscellaneous assets mentioned in article L. 550-1, paragraph I, subparagraph 2 of the Monetary and Financial Code</w:t>
            </w:r>
          </w:p>
        </w:tc>
        <w:tc>
          <w:tcPr>
            <w:tcW w:w="1417" w:type="dxa"/>
            <w:shd w:val="clear" w:color="auto" w:fill="808080" w:themeFill="background1" w:themeFillShade="80"/>
          </w:tcPr>
          <w:p w14:paraId="75A7FC42" w14:textId="157CF5C4"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Intermediary in miscellaneous assets mentioned in article L. 550-1, paragraph I, subparagraph 3 of the Monetary and Financial Code</w:t>
            </w:r>
          </w:p>
        </w:tc>
        <w:tc>
          <w:tcPr>
            <w:tcW w:w="1843" w:type="dxa"/>
            <w:shd w:val="clear" w:color="auto" w:fill="808080" w:themeFill="background1" w:themeFillShade="80"/>
          </w:tcPr>
          <w:p w14:paraId="75A7FC43" w14:textId="75ED0BF5"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Intermediary in miscellaneous assets mentioned in article L. 550-1, paragraph II of the Monetary and Financial Code who takes the initiative in the transaction</w:t>
            </w:r>
          </w:p>
        </w:tc>
        <w:tc>
          <w:tcPr>
            <w:tcW w:w="1559" w:type="dxa"/>
            <w:shd w:val="clear" w:color="auto" w:fill="808080" w:themeFill="background1" w:themeFillShade="80"/>
          </w:tcPr>
          <w:p w14:paraId="75A7FC44" w14:textId="21F0B935"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Intermediary in miscellaneous assets mentioned in article L. 550-1, paragraph II of the Monetary and Financial Code, other than the initiator of the transaction</w:t>
            </w:r>
          </w:p>
        </w:tc>
        <w:tc>
          <w:tcPr>
            <w:tcW w:w="3111" w:type="dxa"/>
            <w:shd w:val="clear" w:color="auto" w:fill="808080" w:themeFill="background1" w:themeFillShade="80"/>
          </w:tcPr>
          <w:p w14:paraId="75A7FC45" w14:textId="77777777" w:rsidR="007B2475" w:rsidRPr="002D4791" w:rsidRDefault="007B2475" w:rsidP="001A67C3">
            <w:pPr>
              <w:overflowPunct w:val="0"/>
              <w:autoSpaceDE w:val="0"/>
              <w:autoSpaceDN w:val="0"/>
              <w:adjustRightInd w:val="0"/>
              <w:jc w:val="center"/>
              <w:textAlignment w:val="baseline"/>
              <w:rPr>
                <w:rFonts w:ascii="Arial" w:eastAsia="Times New Roman" w:hAnsi="Arial" w:cs="Arial"/>
                <w:b/>
                <w:sz w:val="16"/>
                <w:szCs w:val="16"/>
              </w:rPr>
            </w:pPr>
            <w:r>
              <w:rPr>
                <w:rFonts w:ascii="Arial" w:hAnsi="Arial"/>
                <w:b/>
                <w:sz w:val="16"/>
              </w:rPr>
              <w:t>Person responsible for gathering information and sending it to the AMF</w:t>
            </w:r>
            <w:r>
              <w:rPr>
                <w:rStyle w:val="Appelnotedebasdep"/>
                <w:rFonts w:ascii="Arial" w:hAnsi="Arial"/>
                <w:b/>
                <w:sz w:val="16"/>
              </w:rPr>
              <w:footnoteReference w:id="1"/>
            </w:r>
          </w:p>
        </w:tc>
      </w:tr>
      <w:tr w:rsidR="007B2475" w:rsidRPr="001A67C3" w14:paraId="75A7FC52" w14:textId="77777777" w:rsidTr="00A72C21">
        <w:tc>
          <w:tcPr>
            <w:tcW w:w="1809" w:type="dxa"/>
            <w:shd w:val="clear" w:color="auto" w:fill="808080" w:themeFill="background1" w:themeFillShade="80"/>
          </w:tcPr>
          <w:p w14:paraId="75A7FC48"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Article 441-1 of the AMF General Regulation: </w:t>
            </w:r>
          </w:p>
          <w:p w14:paraId="75A7FC49"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p>
        </w:tc>
        <w:tc>
          <w:tcPr>
            <w:tcW w:w="1134" w:type="dxa"/>
            <w:shd w:val="clear" w:color="auto" w:fill="808080" w:themeFill="background1" w:themeFillShade="80"/>
          </w:tcPr>
          <w:p w14:paraId="75A7FC4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C4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C4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C4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C4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C4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C5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C64" w14:textId="77777777" w:rsidTr="00A72C21">
        <w:tc>
          <w:tcPr>
            <w:tcW w:w="1809" w:type="dxa"/>
          </w:tcPr>
          <w:p w14:paraId="75A7FC53"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Rules of organisation, good standing, competence and experience...</w:t>
            </w:r>
          </w:p>
        </w:tc>
        <w:tc>
          <w:tcPr>
            <w:tcW w:w="1134" w:type="dxa"/>
          </w:tcPr>
          <w:p w14:paraId="75A7FC5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5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5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417" w:type="dxa"/>
          </w:tcPr>
          <w:p w14:paraId="75A7FC5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843" w:type="dxa"/>
          </w:tcPr>
          <w:p w14:paraId="75A7FC5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5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5A" w14:textId="2AFDDBD4"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C75" w14:textId="77777777" w:rsidTr="00A72C21">
        <w:tc>
          <w:tcPr>
            <w:tcW w:w="1809" w:type="dxa"/>
          </w:tcPr>
          <w:p w14:paraId="75A7FC6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Conflict of interest prevention </w:t>
            </w:r>
          </w:p>
        </w:tc>
        <w:tc>
          <w:tcPr>
            <w:tcW w:w="1134" w:type="dxa"/>
          </w:tcPr>
          <w:p w14:paraId="75A7FC6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6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6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417" w:type="dxa"/>
          </w:tcPr>
          <w:p w14:paraId="75A7FC6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843" w:type="dxa"/>
          </w:tcPr>
          <w:p w14:paraId="75A7FC6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6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6C" w14:textId="67E728FB"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C85" w14:textId="77777777" w:rsidTr="00A72C21">
        <w:tc>
          <w:tcPr>
            <w:tcW w:w="1809" w:type="dxa"/>
          </w:tcPr>
          <w:p w14:paraId="75A7FC7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Taking out professional indemnity insurance </w:t>
            </w:r>
          </w:p>
        </w:tc>
        <w:tc>
          <w:tcPr>
            <w:tcW w:w="1134" w:type="dxa"/>
          </w:tcPr>
          <w:p w14:paraId="75A7FC7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7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7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417" w:type="dxa"/>
          </w:tcPr>
          <w:p w14:paraId="75A7FC7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843" w:type="dxa"/>
          </w:tcPr>
          <w:p w14:paraId="75A7FC7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7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7D" w14:textId="2A1C24A3"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C8F" w14:textId="77777777" w:rsidTr="00A72C21">
        <w:tc>
          <w:tcPr>
            <w:tcW w:w="1809" w:type="dxa"/>
            <w:shd w:val="clear" w:color="auto" w:fill="808080" w:themeFill="background1" w:themeFillShade="80"/>
          </w:tcPr>
          <w:p w14:paraId="75A7FC8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Article 441-2, paragraph I of the AMF General Regulation</w:t>
            </w:r>
          </w:p>
        </w:tc>
        <w:tc>
          <w:tcPr>
            <w:tcW w:w="1134" w:type="dxa"/>
            <w:shd w:val="clear" w:color="auto" w:fill="808080" w:themeFill="background1" w:themeFillShade="80"/>
          </w:tcPr>
          <w:p w14:paraId="75A7FC8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C8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C8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C8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C8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C8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C8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CA0" w14:textId="77777777" w:rsidTr="00A72C21">
        <w:tc>
          <w:tcPr>
            <w:tcW w:w="1809" w:type="dxa"/>
          </w:tcPr>
          <w:p w14:paraId="75A7FC90"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1° Opening a single account dedicated to the transaction </w:t>
            </w:r>
          </w:p>
        </w:tc>
        <w:tc>
          <w:tcPr>
            <w:tcW w:w="1134" w:type="dxa"/>
          </w:tcPr>
          <w:p w14:paraId="75A7FC9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9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9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C9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C9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9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97" w14:textId="14B659EF"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 xml:space="preserve">The intermediary mentioned in article L. 550-1, paragraph I, subparagraph 1 and paragraph II of the Monetary and Financial Code that takes the initiative in </w:t>
            </w:r>
            <w:r>
              <w:rPr>
                <w:rFonts w:ascii="Arial" w:hAnsi="Arial"/>
                <w:sz w:val="16"/>
              </w:rPr>
              <w:lastRenderedPageBreak/>
              <w:t xml:space="preserve">the transaction </w:t>
            </w:r>
          </w:p>
        </w:tc>
      </w:tr>
      <w:tr w:rsidR="007B2475" w:rsidRPr="001A67C3" w14:paraId="75A7FCB1" w14:textId="77777777" w:rsidTr="00A72C21">
        <w:tc>
          <w:tcPr>
            <w:tcW w:w="1809" w:type="dxa"/>
          </w:tcPr>
          <w:p w14:paraId="75A7FCA1"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lastRenderedPageBreak/>
              <w:t>2° Proof of entrance into an insurance policy that covers the assets handed over in exchange for a life annuity</w:t>
            </w:r>
          </w:p>
        </w:tc>
        <w:tc>
          <w:tcPr>
            <w:tcW w:w="1134" w:type="dxa"/>
          </w:tcPr>
          <w:p w14:paraId="75A7FCA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A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A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CA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CA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559" w:type="dxa"/>
          </w:tcPr>
          <w:p w14:paraId="75A7FCA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0AC2577C" w14:textId="77777777" w:rsidR="007B2475"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 xml:space="preserve">The intermediary mentioned in article L. 550-1, paragraph I, subparagraph 1 of the Monetary and Financial Code that takes the initiative in the transaction </w:t>
            </w:r>
          </w:p>
          <w:p w14:paraId="5CA2DAC1"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6EAF0C7B"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4C7EB9E0"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34ADB57F" w14:textId="77777777" w:rsidR="002D4791" w:rsidRDefault="002D4791" w:rsidP="00652BFD">
            <w:pPr>
              <w:overflowPunct w:val="0"/>
              <w:autoSpaceDE w:val="0"/>
              <w:autoSpaceDN w:val="0"/>
              <w:adjustRightInd w:val="0"/>
              <w:textAlignment w:val="baseline"/>
              <w:rPr>
                <w:rFonts w:ascii="Arial" w:eastAsia="Times New Roman" w:hAnsi="Arial" w:cs="Arial"/>
                <w:sz w:val="16"/>
                <w:szCs w:val="16"/>
              </w:rPr>
            </w:pPr>
          </w:p>
          <w:p w14:paraId="75A7FCA8" w14:textId="32A4DBB3" w:rsidR="002D4791" w:rsidRPr="001A67C3" w:rsidRDefault="002D4791"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CC2" w14:textId="77777777" w:rsidTr="00A72C21">
        <w:tc>
          <w:tcPr>
            <w:tcW w:w="1809" w:type="dxa"/>
          </w:tcPr>
          <w:p w14:paraId="75A7FCB2" w14:textId="77777777"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3° Valuation of the life annuity fees, the assets or the title to the assets at the time of subscription</w:t>
            </w:r>
          </w:p>
        </w:tc>
        <w:tc>
          <w:tcPr>
            <w:tcW w:w="1134" w:type="dxa"/>
          </w:tcPr>
          <w:p w14:paraId="75A7FCB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B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B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CB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CB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B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B9" w14:textId="798D2C81"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 xml:space="preserve">The intermediary mentioned in article L. 550-1, paragraph I, subparagraph 1 and paragraph II of the Monetary and Financial Code that takes the initiative in the transaction </w:t>
            </w:r>
          </w:p>
        </w:tc>
      </w:tr>
      <w:tr w:rsidR="007B2475" w:rsidRPr="001A67C3" w14:paraId="75A7FCD3" w14:textId="77777777" w:rsidTr="00A72C21">
        <w:tc>
          <w:tcPr>
            <w:tcW w:w="1809" w:type="dxa"/>
          </w:tcPr>
          <w:p w14:paraId="75A7FCC3"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4° Implementing a procedure to determine a typical investor profile adjusted for the risk involved in investing in miscellaneous assets</w:t>
            </w:r>
          </w:p>
        </w:tc>
        <w:tc>
          <w:tcPr>
            <w:tcW w:w="1134" w:type="dxa"/>
          </w:tcPr>
          <w:p w14:paraId="75A7FCC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C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C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CC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 xml:space="preserve">NO </w:t>
            </w:r>
          </w:p>
        </w:tc>
        <w:tc>
          <w:tcPr>
            <w:tcW w:w="1843" w:type="dxa"/>
          </w:tcPr>
          <w:p w14:paraId="75A7FCC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C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CA" w14:textId="37F13FD5"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 xml:space="preserve">The intermediary mentioned in article L. 550-1, paragraph I, subparagraph 1 and paragraph II of the Monetary and Financial Code that takes the initiative in the transaction </w:t>
            </w:r>
          </w:p>
        </w:tc>
      </w:tr>
      <w:tr w:rsidR="007B2475" w:rsidRPr="001A67C3" w14:paraId="75A7FCE4" w14:textId="77777777" w:rsidTr="00A72C21">
        <w:tc>
          <w:tcPr>
            <w:tcW w:w="1809" w:type="dxa"/>
          </w:tcPr>
          <w:p w14:paraId="75A7FCD4"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5° Proof of the record-keeping required to fulfil the requirements mentioned in article 441-2, paragraph I, subparagraph 5 of </w:t>
            </w:r>
            <w:r>
              <w:rPr>
                <w:rFonts w:ascii="Arial" w:hAnsi="Arial"/>
                <w:b/>
                <w:sz w:val="16"/>
              </w:rPr>
              <w:lastRenderedPageBreak/>
              <w:t xml:space="preserve">the AMF General Regulation </w:t>
            </w:r>
          </w:p>
        </w:tc>
        <w:tc>
          <w:tcPr>
            <w:tcW w:w="1134" w:type="dxa"/>
          </w:tcPr>
          <w:p w14:paraId="75A7FCD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lastRenderedPageBreak/>
              <w:t>NO</w:t>
            </w:r>
          </w:p>
        </w:tc>
        <w:tc>
          <w:tcPr>
            <w:tcW w:w="1418" w:type="dxa"/>
          </w:tcPr>
          <w:p w14:paraId="75A7FCD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D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CD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CD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D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DB" w14:textId="3D2AA8AB"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CF9" w14:textId="77777777" w:rsidTr="00A72C21">
        <w:tc>
          <w:tcPr>
            <w:tcW w:w="1809" w:type="dxa"/>
          </w:tcPr>
          <w:p w14:paraId="75A7FCE6" w14:textId="07188AED"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lastRenderedPageBreak/>
              <w:t xml:space="preserve">6° Sending investors proof of the life annuity fees or title to the assets as soon as they acquire them </w:t>
            </w:r>
          </w:p>
          <w:p w14:paraId="75A7FCE7" w14:textId="77777777"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AND</w:t>
            </w:r>
          </w:p>
          <w:p w14:paraId="75A7FCE9" w14:textId="77777777" w:rsidR="007B2475" w:rsidRPr="002447F0" w:rsidRDefault="007B2475" w:rsidP="00C07FAA">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Sending a formal commitment to the AMF</w:t>
            </w:r>
          </w:p>
        </w:tc>
        <w:tc>
          <w:tcPr>
            <w:tcW w:w="1134" w:type="dxa"/>
          </w:tcPr>
          <w:p w14:paraId="75A7FCE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E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E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CE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CE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CE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CF0" w14:textId="28957D3E"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D0A" w14:textId="77777777" w:rsidTr="002D4791">
        <w:trPr>
          <w:trHeight w:val="2604"/>
        </w:trPr>
        <w:tc>
          <w:tcPr>
            <w:tcW w:w="1809" w:type="dxa"/>
          </w:tcPr>
          <w:p w14:paraId="37B83A23" w14:textId="77777777" w:rsidR="007B2475" w:rsidRDefault="007B2475" w:rsidP="001E3564">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7° Signing the information document and sending the documents mentioned in article L. 550-3 of the Monetary and Financial Code and items proving compliance with the obligations mentioned in article 441-1 of the AMF General Regulation</w:t>
            </w:r>
          </w:p>
          <w:p w14:paraId="75A7FCFA" w14:textId="319B2144" w:rsidR="007B2475" w:rsidRPr="002447F0" w:rsidRDefault="007B2475" w:rsidP="001E3564">
            <w:pPr>
              <w:overflowPunct w:val="0"/>
              <w:autoSpaceDE w:val="0"/>
              <w:autoSpaceDN w:val="0"/>
              <w:adjustRightInd w:val="0"/>
              <w:textAlignment w:val="baseline"/>
              <w:rPr>
                <w:rFonts w:ascii="Arial" w:eastAsia="Times New Roman" w:hAnsi="Arial" w:cs="Arial"/>
                <w:b/>
                <w:sz w:val="16"/>
                <w:szCs w:val="16"/>
              </w:rPr>
            </w:pPr>
          </w:p>
        </w:tc>
        <w:tc>
          <w:tcPr>
            <w:tcW w:w="1134" w:type="dxa"/>
          </w:tcPr>
          <w:p w14:paraId="75A7FCF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CF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CF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CF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CF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D0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D01" w14:textId="09F27431"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D14" w14:textId="77777777" w:rsidTr="00A72C21">
        <w:tc>
          <w:tcPr>
            <w:tcW w:w="1809" w:type="dxa"/>
            <w:shd w:val="clear" w:color="auto" w:fill="808080" w:themeFill="background1" w:themeFillShade="80"/>
          </w:tcPr>
          <w:p w14:paraId="75A7FD0B"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Article 441-2, paragraph II of the </w:t>
            </w:r>
            <w:r>
              <w:rPr>
                <w:rFonts w:ascii="Arial" w:hAnsi="Arial"/>
                <w:b/>
                <w:sz w:val="16"/>
              </w:rPr>
              <w:lastRenderedPageBreak/>
              <w:t>AMF General Regulation</w:t>
            </w:r>
          </w:p>
        </w:tc>
        <w:tc>
          <w:tcPr>
            <w:tcW w:w="1134" w:type="dxa"/>
            <w:shd w:val="clear" w:color="auto" w:fill="808080" w:themeFill="background1" w:themeFillShade="80"/>
          </w:tcPr>
          <w:p w14:paraId="75A7FD0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D0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D0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D0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D1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D1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D1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25" w14:textId="77777777" w:rsidTr="00A72C21">
        <w:tc>
          <w:tcPr>
            <w:tcW w:w="1809" w:type="dxa"/>
          </w:tcPr>
          <w:p w14:paraId="75A7FD1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lastRenderedPageBreak/>
              <w:t>1° Proof of entrance into an insurance policy that covers the assets to which title has been acquired</w:t>
            </w:r>
          </w:p>
        </w:tc>
        <w:tc>
          <w:tcPr>
            <w:tcW w:w="1134" w:type="dxa"/>
          </w:tcPr>
          <w:p w14:paraId="75A7FD1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D1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D1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D1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D1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D1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D1C" w14:textId="356025E9"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D36" w14:textId="77777777" w:rsidTr="00A72C21">
        <w:tc>
          <w:tcPr>
            <w:tcW w:w="1809" w:type="dxa"/>
          </w:tcPr>
          <w:p w14:paraId="75A7FD2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2° Implementing an asset valuation procedure in the presence of a buy-back or exchange option</w:t>
            </w:r>
          </w:p>
        </w:tc>
        <w:tc>
          <w:tcPr>
            <w:tcW w:w="1134" w:type="dxa"/>
          </w:tcPr>
          <w:p w14:paraId="75A7FD2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D2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D2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D2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D2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559" w:type="dxa"/>
          </w:tcPr>
          <w:p w14:paraId="75A7FD2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D2D" w14:textId="449B38A1"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of the Monetary and Financial Code that takes the initiative in the transaction</w:t>
            </w:r>
          </w:p>
        </w:tc>
      </w:tr>
      <w:tr w:rsidR="007B2475" w:rsidRPr="001A67C3" w14:paraId="75A7FD49" w14:textId="77777777" w:rsidTr="00A72C21">
        <w:tc>
          <w:tcPr>
            <w:tcW w:w="1809" w:type="dxa"/>
          </w:tcPr>
          <w:p w14:paraId="75A7FD37"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3° Implementing a mechanism guaranteeing the liquidity of the title to the assets</w:t>
            </w:r>
          </w:p>
        </w:tc>
        <w:tc>
          <w:tcPr>
            <w:tcW w:w="1134" w:type="dxa"/>
          </w:tcPr>
          <w:p w14:paraId="75A7FD3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D3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D3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D3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D3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559" w:type="dxa"/>
          </w:tcPr>
          <w:p w14:paraId="75A7FD3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3F77D5" w14:textId="5195E55A" w:rsidR="005142F7"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of the Monetary and Financial Code that takes the initiative in the transaction</w:t>
            </w:r>
          </w:p>
          <w:p w14:paraId="588A2DED" w14:textId="77777777" w:rsidR="005142F7" w:rsidRDefault="005142F7" w:rsidP="00652BFD">
            <w:pPr>
              <w:overflowPunct w:val="0"/>
              <w:autoSpaceDE w:val="0"/>
              <w:autoSpaceDN w:val="0"/>
              <w:adjustRightInd w:val="0"/>
              <w:textAlignment w:val="baseline"/>
              <w:rPr>
                <w:rFonts w:ascii="Arial" w:eastAsia="Times New Roman" w:hAnsi="Arial" w:cs="Arial"/>
                <w:sz w:val="16"/>
                <w:szCs w:val="16"/>
              </w:rPr>
            </w:pPr>
          </w:p>
          <w:p w14:paraId="4810BFB4"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p w14:paraId="75A7FD4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53" w14:textId="77777777" w:rsidTr="00A72C21">
        <w:tc>
          <w:tcPr>
            <w:tcW w:w="1809" w:type="dxa"/>
            <w:shd w:val="clear" w:color="auto" w:fill="808080" w:themeFill="background1" w:themeFillShade="80"/>
          </w:tcPr>
          <w:p w14:paraId="75A7FD4A"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Article 441-3 of the AMF General Regulation</w:t>
            </w:r>
          </w:p>
        </w:tc>
        <w:tc>
          <w:tcPr>
            <w:tcW w:w="1134" w:type="dxa"/>
            <w:shd w:val="clear" w:color="auto" w:fill="808080" w:themeFill="background1" w:themeFillShade="80"/>
          </w:tcPr>
          <w:p w14:paraId="75A7FD4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D4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D4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D4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D4F"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D5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D5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66" w14:textId="77777777" w:rsidTr="00A72C21">
        <w:tc>
          <w:tcPr>
            <w:tcW w:w="1809" w:type="dxa"/>
          </w:tcPr>
          <w:p w14:paraId="75A7FD54"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1° Providing a report written by an independent expert</w:t>
            </w:r>
          </w:p>
          <w:p w14:paraId="75A7FD5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p>
          <w:p w14:paraId="75A7FD56"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p>
        </w:tc>
        <w:tc>
          <w:tcPr>
            <w:tcW w:w="1134" w:type="dxa"/>
          </w:tcPr>
          <w:p w14:paraId="75A7FD5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D5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D5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D5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D5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D5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D5D" w14:textId="353F76A4"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r w:rsidR="007B2475" w:rsidRPr="001A67C3" w14:paraId="75A7FD77" w14:textId="77777777" w:rsidTr="00A72C21">
        <w:tc>
          <w:tcPr>
            <w:tcW w:w="1809" w:type="dxa"/>
          </w:tcPr>
          <w:p w14:paraId="75A7FD67" w14:textId="3973326E" w:rsidR="007B2475" w:rsidRPr="002447F0" w:rsidRDefault="007B2475" w:rsidP="00432C63">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lastRenderedPageBreak/>
              <w:t>3° Providing the advertising mentioned in article L. 550-1, paragraph III of the Monetary and Financial Code</w:t>
            </w:r>
          </w:p>
        </w:tc>
        <w:tc>
          <w:tcPr>
            <w:tcW w:w="1134" w:type="dxa"/>
          </w:tcPr>
          <w:p w14:paraId="75A7FD68" w14:textId="77777777" w:rsidR="007B2475" w:rsidRPr="00E94B03" w:rsidRDefault="007B2475"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Pr>
                <w:rFonts w:ascii="Arial" w:hAnsi="Arial"/>
                <w:sz w:val="16"/>
              </w:rPr>
              <w:t>YES</w:t>
            </w:r>
          </w:p>
        </w:tc>
        <w:tc>
          <w:tcPr>
            <w:tcW w:w="1418" w:type="dxa"/>
          </w:tcPr>
          <w:p w14:paraId="75A7FD69" w14:textId="77777777" w:rsidR="007B2475" w:rsidRPr="00E94B03" w:rsidRDefault="007B2475" w:rsidP="00DD4A2F">
            <w:pPr>
              <w:overflowPunct w:val="0"/>
              <w:autoSpaceDE w:val="0"/>
              <w:autoSpaceDN w:val="0"/>
              <w:adjustRightInd w:val="0"/>
              <w:spacing w:after="200" w:line="276" w:lineRule="auto"/>
              <w:textAlignment w:val="baseline"/>
              <w:rPr>
                <w:rFonts w:ascii="Arial" w:eastAsia="Times New Roman" w:hAnsi="Arial" w:cs="Arial"/>
                <w:sz w:val="16"/>
                <w:szCs w:val="16"/>
              </w:rPr>
            </w:pPr>
            <w:r>
              <w:rPr>
                <w:rFonts w:ascii="Arial" w:hAnsi="Arial"/>
                <w:sz w:val="16"/>
              </w:rPr>
              <w:t xml:space="preserve">YES </w:t>
            </w:r>
          </w:p>
        </w:tc>
        <w:tc>
          <w:tcPr>
            <w:tcW w:w="1276" w:type="dxa"/>
          </w:tcPr>
          <w:p w14:paraId="75A7FD6A" w14:textId="136282E0" w:rsidR="007B2475" w:rsidRPr="00E94B03" w:rsidRDefault="00E94B03"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Pr>
                <w:rFonts w:ascii="Arial" w:hAnsi="Arial"/>
                <w:sz w:val="16"/>
              </w:rPr>
              <w:t>YES</w:t>
            </w:r>
          </w:p>
        </w:tc>
        <w:tc>
          <w:tcPr>
            <w:tcW w:w="1417" w:type="dxa"/>
          </w:tcPr>
          <w:p w14:paraId="75A7FD6B" w14:textId="454387D8" w:rsidR="007B2475" w:rsidRPr="00E94B03" w:rsidRDefault="00E94B03"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Pr>
                <w:rFonts w:ascii="Arial" w:hAnsi="Arial"/>
                <w:sz w:val="16"/>
              </w:rPr>
              <w:t>YES</w:t>
            </w:r>
          </w:p>
        </w:tc>
        <w:tc>
          <w:tcPr>
            <w:tcW w:w="1843" w:type="dxa"/>
          </w:tcPr>
          <w:p w14:paraId="75A7FD6C" w14:textId="77777777" w:rsidR="007B2475" w:rsidRPr="00E94B03" w:rsidRDefault="007B2475" w:rsidP="00652BFD">
            <w:pPr>
              <w:overflowPunct w:val="0"/>
              <w:autoSpaceDE w:val="0"/>
              <w:autoSpaceDN w:val="0"/>
              <w:adjustRightInd w:val="0"/>
              <w:spacing w:after="200" w:line="276" w:lineRule="auto"/>
              <w:textAlignment w:val="baseline"/>
              <w:rPr>
                <w:rFonts w:ascii="Arial" w:eastAsia="Times New Roman" w:hAnsi="Arial" w:cs="Arial"/>
                <w:sz w:val="16"/>
                <w:szCs w:val="16"/>
              </w:rPr>
            </w:pPr>
            <w:r>
              <w:rPr>
                <w:rFonts w:ascii="Arial" w:hAnsi="Arial"/>
                <w:sz w:val="16"/>
              </w:rPr>
              <w:t>YES</w:t>
            </w:r>
          </w:p>
        </w:tc>
        <w:tc>
          <w:tcPr>
            <w:tcW w:w="1559" w:type="dxa"/>
          </w:tcPr>
          <w:p w14:paraId="75A7FD6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3111" w:type="dxa"/>
          </w:tcPr>
          <w:p w14:paraId="75A7FD6E" w14:textId="41C55590" w:rsidR="007B2475" w:rsidRPr="001A67C3" w:rsidRDefault="005142F7" w:rsidP="005142F7">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that takes the initiative in the transaction provides the AMF with all adverts produced by all the intermediaries involved in the transaction. All the other intermediaries must therefore provide their adverts to the intermediary that takes the initiative in the transaction so that the latter can fulfil its regulatory requirement.</w:t>
            </w:r>
          </w:p>
        </w:tc>
      </w:tr>
      <w:tr w:rsidR="00F00D5A" w:rsidRPr="001A67C3" w14:paraId="75BDBCF6" w14:textId="77777777" w:rsidTr="00F00D5A">
        <w:tc>
          <w:tcPr>
            <w:tcW w:w="1809" w:type="dxa"/>
            <w:shd w:val="clear" w:color="auto" w:fill="808080" w:themeFill="background1" w:themeFillShade="80"/>
          </w:tcPr>
          <w:p w14:paraId="10A2C591" w14:textId="32AAC7B1" w:rsidR="00F00D5A" w:rsidRPr="002447F0" w:rsidRDefault="00F00D5A" w:rsidP="00432C63">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Chapter 3 of the instruction</w:t>
            </w:r>
          </w:p>
        </w:tc>
        <w:tc>
          <w:tcPr>
            <w:tcW w:w="1134" w:type="dxa"/>
            <w:shd w:val="clear" w:color="auto" w:fill="808080" w:themeFill="background1" w:themeFillShade="80"/>
          </w:tcPr>
          <w:p w14:paraId="4F820658"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4A3A406D" w14:textId="77777777" w:rsidR="00F00D5A" w:rsidRPr="00E94B03" w:rsidRDefault="00F00D5A" w:rsidP="00DD4A2F">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37C66300"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50D0C2D4"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3CF11F5" w14:textId="77777777" w:rsidR="00F00D5A" w:rsidRPr="00E94B0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69F0E720" w14:textId="77777777" w:rsidR="00F00D5A" w:rsidRPr="001A67C3" w:rsidRDefault="00F00D5A"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59DFB208" w14:textId="77777777" w:rsidR="00F00D5A" w:rsidRDefault="00F00D5A" w:rsidP="005142F7">
            <w:pPr>
              <w:overflowPunct w:val="0"/>
              <w:autoSpaceDE w:val="0"/>
              <w:autoSpaceDN w:val="0"/>
              <w:adjustRightInd w:val="0"/>
              <w:textAlignment w:val="baseline"/>
              <w:rPr>
                <w:rFonts w:ascii="Arial" w:eastAsia="Times New Roman" w:hAnsi="Arial" w:cs="Arial"/>
                <w:sz w:val="16"/>
                <w:szCs w:val="16"/>
              </w:rPr>
            </w:pPr>
          </w:p>
        </w:tc>
      </w:tr>
      <w:tr w:rsidR="003131BA" w14:paraId="465790D4" w14:textId="77777777" w:rsidTr="00A72C21">
        <w:tc>
          <w:tcPr>
            <w:tcW w:w="1809" w:type="dxa"/>
            <w:shd w:val="clear" w:color="auto" w:fill="FFFFFF" w:themeFill="background1"/>
          </w:tcPr>
          <w:p w14:paraId="52F80D10" w14:textId="042A8401" w:rsidR="005142F7" w:rsidRDefault="00F00D5A" w:rsidP="002D4791">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Article 14 - Compliance with obligations concerning adverts for offers of miscellaneous assets as mentioned in article L. 550-1, paragraph III of the Monetary and Financial Code </w:t>
            </w:r>
          </w:p>
          <w:p w14:paraId="6E16D6D5" w14:textId="77777777" w:rsidR="002D4791" w:rsidRDefault="002D4791" w:rsidP="002D4791">
            <w:pPr>
              <w:overflowPunct w:val="0"/>
              <w:autoSpaceDE w:val="0"/>
              <w:autoSpaceDN w:val="0"/>
              <w:adjustRightInd w:val="0"/>
              <w:textAlignment w:val="baseline"/>
              <w:rPr>
                <w:rFonts w:ascii="Arial" w:eastAsia="Times New Roman" w:hAnsi="Arial" w:cs="Arial"/>
                <w:b/>
                <w:sz w:val="16"/>
                <w:szCs w:val="16"/>
              </w:rPr>
            </w:pPr>
          </w:p>
          <w:p w14:paraId="403F99ED" w14:textId="4DEFFB02" w:rsidR="005142F7" w:rsidRPr="002447F0" w:rsidRDefault="005142F7" w:rsidP="002D4791">
            <w:pPr>
              <w:overflowPunct w:val="0"/>
              <w:autoSpaceDE w:val="0"/>
              <w:autoSpaceDN w:val="0"/>
              <w:adjustRightInd w:val="0"/>
              <w:textAlignment w:val="baseline"/>
              <w:rPr>
                <w:rFonts w:ascii="Arial" w:eastAsia="Times New Roman" w:hAnsi="Arial" w:cs="Arial"/>
                <w:b/>
                <w:sz w:val="16"/>
                <w:szCs w:val="16"/>
              </w:rPr>
            </w:pPr>
          </w:p>
        </w:tc>
        <w:tc>
          <w:tcPr>
            <w:tcW w:w="1134" w:type="dxa"/>
            <w:shd w:val="clear" w:color="auto" w:fill="FFFFFF" w:themeFill="background1"/>
          </w:tcPr>
          <w:p w14:paraId="6300DCFB"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418" w:type="dxa"/>
            <w:shd w:val="clear" w:color="auto" w:fill="FFFFFF" w:themeFill="background1"/>
          </w:tcPr>
          <w:p w14:paraId="332A78C1"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shd w:val="clear" w:color="auto" w:fill="FFFFFF" w:themeFill="background1"/>
          </w:tcPr>
          <w:p w14:paraId="7F674958"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417" w:type="dxa"/>
            <w:shd w:val="clear" w:color="auto" w:fill="FFFFFF" w:themeFill="background1"/>
          </w:tcPr>
          <w:p w14:paraId="3875AEE1"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843" w:type="dxa"/>
            <w:shd w:val="clear" w:color="auto" w:fill="FFFFFF" w:themeFill="background1"/>
          </w:tcPr>
          <w:p w14:paraId="15C2B599"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shd w:val="clear" w:color="auto" w:fill="FFFFFF" w:themeFill="background1"/>
          </w:tcPr>
          <w:p w14:paraId="69BD6979"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3111" w:type="dxa"/>
            <w:shd w:val="clear" w:color="auto" w:fill="FFFFFF" w:themeFill="background1"/>
          </w:tcPr>
          <w:p w14:paraId="22843E52" w14:textId="77777777" w:rsidR="003131BA" w:rsidRDefault="003131BA" w:rsidP="002D4791">
            <w:pPr>
              <w:overflowPunct w:val="0"/>
              <w:autoSpaceDE w:val="0"/>
              <w:autoSpaceDN w:val="0"/>
              <w:adjustRightInd w:val="0"/>
              <w:textAlignment w:val="baseline"/>
              <w:rPr>
                <w:rFonts w:ascii="Arial" w:eastAsia="Times New Roman" w:hAnsi="Arial" w:cs="Arial"/>
                <w:sz w:val="16"/>
                <w:szCs w:val="16"/>
              </w:rPr>
            </w:pPr>
            <w:r>
              <w:rPr>
                <w:rFonts w:ascii="Arial" w:hAnsi="Arial"/>
                <w:sz w:val="16"/>
              </w:rPr>
              <w:t>N/A</w:t>
            </w:r>
          </w:p>
        </w:tc>
      </w:tr>
      <w:tr w:rsidR="005142F7" w:rsidRPr="001A67C3" w14:paraId="6430D15A" w14:textId="77777777" w:rsidTr="005142F7">
        <w:tc>
          <w:tcPr>
            <w:tcW w:w="1809" w:type="dxa"/>
            <w:shd w:val="clear" w:color="auto" w:fill="808080" w:themeFill="background1" w:themeFillShade="80"/>
          </w:tcPr>
          <w:p w14:paraId="11C281CA" w14:textId="346FF33F" w:rsidR="005142F7" w:rsidRPr="002447F0" w:rsidRDefault="005142F7" w:rsidP="00641693">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Chapter 4 of the instruction</w:t>
            </w:r>
          </w:p>
        </w:tc>
        <w:tc>
          <w:tcPr>
            <w:tcW w:w="1134" w:type="dxa"/>
            <w:shd w:val="clear" w:color="auto" w:fill="808080" w:themeFill="background1" w:themeFillShade="80"/>
          </w:tcPr>
          <w:p w14:paraId="6DF9D110"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23D632DF" w14:textId="77777777" w:rsidR="005142F7" w:rsidRPr="001A67C3" w:rsidRDefault="005142F7" w:rsidP="00DD4A2F">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6B6A69C1"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6C67FBA9"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6C2E679F"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4B4A27E3" w14:textId="77777777" w:rsidR="005142F7" w:rsidRPr="001A67C3" w:rsidRDefault="005142F7"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6E9034E" w14:textId="77777777" w:rsidR="005142F7" w:rsidRPr="001A67C3" w:rsidRDefault="005142F7" w:rsidP="00641693">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88" w14:textId="77777777" w:rsidTr="00A72C21">
        <w:tc>
          <w:tcPr>
            <w:tcW w:w="1809" w:type="dxa"/>
          </w:tcPr>
          <w:p w14:paraId="75A7FD78" w14:textId="229F23EC" w:rsidR="007B2475" w:rsidRPr="002447F0" w:rsidRDefault="00F00D5A" w:rsidP="005142F7">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 xml:space="preserve">Article 18 - Changes in the offer conditions and related obligations </w:t>
            </w:r>
          </w:p>
        </w:tc>
        <w:tc>
          <w:tcPr>
            <w:tcW w:w="1134" w:type="dxa"/>
          </w:tcPr>
          <w:p w14:paraId="75A7FD7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tcPr>
          <w:p w14:paraId="75A7FD7A" w14:textId="77777777" w:rsidR="007B2475" w:rsidRPr="001A67C3" w:rsidRDefault="007B2475" w:rsidP="00DD4A2F">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tcPr>
          <w:p w14:paraId="75A7FD7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7" w:type="dxa"/>
          </w:tcPr>
          <w:p w14:paraId="75A7FD7C"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843" w:type="dxa"/>
          </w:tcPr>
          <w:p w14:paraId="75A7FD7D"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tcPr>
          <w:p w14:paraId="75A7FD7E"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tcPr>
          <w:p w14:paraId="75A7FD7F" w14:textId="2421BAEB" w:rsidR="007B2475" w:rsidRPr="001A67C3" w:rsidRDefault="007B2475" w:rsidP="00641693">
            <w:pPr>
              <w:overflowPunct w:val="0"/>
              <w:autoSpaceDE w:val="0"/>
              <w:autoSpaceDN w:val="0"/>
              <w:adjustRightInd w:val="0"/>
              <w:textAlignment w:val="baseline"/>
              <w:rPr>
                <w:rFonts w:ascii="Arial" w:eastAsia="Times New Roman" w:hAnsi="Arial" w:cs="Arial"/>
                <w:sz w:val="16"/>
                <w:szCs w:val="16"/>
              </w:rPr>
            </w:pPr>
            <w:r>
              <w:rPr>
                <w:rFonts w:ascii="Arial" w:hAnsi="Arial"/>
                <w:sz w:val="16"/>
              </w:rPr>
              <w:t xml:space="preserve">The intermediary mentioned in article L. 550-1, paragraph I, subparagraph 1 and paragraph II of the Monetary and Financial Code that takes the initiative in </w:t>
            </w:r>
            <w:r>
              <w:rPr>
                <w:rFonts w:ascii="Arial" w:hAnsi="Arial"/>
                <w:sz w:val="16"/>
              </w:rPr>
              <w:lastRenderedPageBreak/>
              <w:t>the transaction</w:t>
            </w:r>
          </w:p>
        </w:tc>
      </w:tr>
      <w:tr w:rsidR="007B2475" w:rsidRPr="001A67C3" w14:paraId="75A7FDBE" w14:textId="77777777" w:rsidTr="00A72C21">
        <w:tc>
          <w:tcPr>
            <w:tcW w:w="1809" w:type="dxa"/>
            <w:shd w:val="clear" w:color="auto" w:fill="808080" w:themeFill="background1" w:themeFillShade="80"/>
          </w:tcPr>
          <w:p w14:paraId="75A7FDB5"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lastRenderedPageBreak/>
              <w:t>Chapter 5 of the instruction</w:t>
            </w:r>
          </w:p>
        </w:tc>
        <w:tc>
          <w:tcPr>
            <w:tcW w:w="1134" w:type="dxa"/>
            <w:shd w:val="clear" w:color="auto" w:fill="808080" w:themeFill="background1" w:themeFillShade="80"/>
          </w:tcPr>
          <w:p w14:paraId="75A7FDB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8" w:type="dxa"/>
            <w:shd w:val="clear" w:color="auto" w:fill="808080" w:themeFill="background1" w:themeFillShade="80"/>
          </w:tcPr>
          <w:p w14:paraId="75A7FDB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276" w:type="dxa"/>
            <w:shd w:val="clear" w:color="auto" w:fill="808080" w:themeFill="background1" w:themeFillShade="80"/>
          </w:tcPr>
          <w:p w14:paraId="75A7FDB8"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417" w:type="dxa"/>
            <w:shd w:val="clear" w:color="auto" w:fill="808080" w:themeFill="background1" w:themeFillShade="80"/>
          </w:tcPr>
          <w:p w14:paraId="75A7FDB9"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843" w:type="dxa"/>
            <w:shd w:val="clear" w:color="auto" w:fill="808080" w:themeFill="background1" w:themeFillShade="80"/>
          </w:tcPr>
          <w:p w14:paraId="75A7FDBA"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1559" w:type="dxa"/>
            <w:shd w:val="clear" w:color="auto" w:fill="808080" w:themeFill="background1" w:themeFillShade="80"/>
          </w:tcPr>
          <w:p w14:paraId="75A7FDBB"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p>
        </w:tc>
        <w:tc>
          <w:tcPr>
            <w:tcW w:w="3111" w:type="dxa"/>
            <w:shd w:val="clear" w:color="auto" w:fill="808080" w:themeFill="background1" w:themeFillShade="80"/>
          </w:tcPr>
          <w:p w14:paraId="75A7FDBC" w14:textId="77777777" w:rsidR="007B2475" w:rsidRPr="001A67C3" w:rsidRDefault="007B2475" w:rsidP="00641693">
            <w:pPr>
              <w:overflowPunct w:val="0"/>
              <w:autoSpaceDE w:val="0"/>
              <w:autoSpaceDN w:val="0"/>
              <w:adjustRightInd w:val="0"/>
              <w:textAlignment w:val="baseline"/>
              <w:rPr>
                <w:rFonts w:ascii="Arial" w:eastAsia="Times New Roman" w:hAnsi="Arial" w:cs="Arial"/>
                <w:sz w:val="16"/>
                <w:szCs w:val="16"/>
              </w:rPr>
            </w:pPr>
          </w:p>
        </w:tc>
      </w:tr>
      <w:tr w:rsidR="007B2475" w:rsidRPr="001A67C3" w14:paraId="75A7FDD0" w14:textId="77777777" w:rsidTr="00A72C21">
        <w:tc>
          <w:tcPr>
            <w:tcW w:w="1809" w:type="dxa"/>
            <w:shd w:val="clear" w:color="auto" w:fill="FFFFFF" w:themeFill="background1"/>
          </w:tcPr>
          <w:p w14:paraId="75A7FDBF"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Periodic disclosure to investors</w:t>
            </w:r>
          </w:p>
        </w:tc>
        <w:tc>
          <w:tcPr>
            <w:tcW w:w="1134" w:type="dxa"/>
            <w:shd w:val="clear" w:color="auto" w:fill="FFFFFF" w:themeFill="background1"/>
          </w:tcPr>
          <w:p w14:paraId="75A7FDC0"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shd w:val="clear" w:color="auto" w:fill="FFFFFF" w:themeFill="background1"/>
          </w:tcPr>
          <w:p w14:paraId="75A7FDC1"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shd w:val="clear" w:color="auto" w:fill="FFFFFF" w:themeFill="background1"/>
          </w:tcPr>
          <w:p w14:paraId="75A7FDC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417" w:type="dxa"/>
            <w:shd w:val="clear" w:color="auto" w:fill="FFFFFF" w:themeFill="background1"/>
          </w:tcPr>
          <w:p w14:paraId="75A7FDC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843" w:type="dxa"/>
            <w:shd w:val="clear" w:color="auto" w:fill="FFFFFF" w:themeFill="background1"/>
          </w:tcPr>
          <w:p w14:paraId="75A7FDC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559" w:type="dxa"/>
            <w:shd w:val="clear" w:color="auto" w:fill="FFFFFF" w:themeFill="background1"/>
          </w:tcPr>
          <w:p w14:paraId="75A7FDC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shd w:val="clear" w:color="auto" w:fill="FFFFFF" w:themeFill="background1"/>
          </w:tcPr>
          <w:p w14:paraId="75A7FDC6" w14:textId="3D0C9E31" w:rsidR="007B2475" w:rsidRPr="001A67C3" w:rsidRDefault="007B2475" w:rsidP="002C6E89">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of the Monetary and Financial Code that takes the initiative in the transaction</w:t>
            </w:r>
          </w:p>
        </w:tc>
      </w:tr>
      <w:tr w:rsidR="007B2475" w:rsidRPr="001A67C3" w14:paraId="75A7FDE1" w14:textId="77777777" w:rsidTr="00A72C21">
        <w:tc>
          <w:tcPr>
            <w:tcW w:w="1809" w:type="dxa"/>
            <w:shd w:val="clear" w:color="auto" w:fill="FFFFFF" w:themeFill="background1"/>
          </w:tcPr>
          <w:p w14:paraId="75A7FDD1" w14:textId="77777777" w:rsidR="007B2475" w:rsidRPr="002447F0" w:rsidRDefault="007B2475" w:rsidP="00652BFD">
            <w:pPr>
              <w:overflowPunct w:val="0"/>
              <w:autoSpaceDE w:val="0"/>
              <w:autoSpaceDN w:val="0"/>
              <w:adjustRightInd w:val="0"/>
              <w:textAlignment w:val="baseline"/>
              <w:rPr>
                <w:rFonts w:ascii="Arial" w:eastAsia="Times New Roman" w:hAnsi="Arial" w:cs="Arial"/>
                <w:b/>
                <w:sz w:val="16"/>
                <w:szCs w:val="16"/>
              </w:rPr>
            </w:pPr>
            <w:r>
              <w:rPr>
                <w:rFonts w:ascii="Arial" w:hAnsi="Arial"/>
                <w:b/>
                <w:sz w:val="16"/>
              </w:rPr>
              <w:t>Half-yearly and annual reporting to the AMF</w:t>
            </w:r>
          </w:p>
        </w:tc>
        <w:tc>
          <w:tcPr>
            <w:tcW w:w="1134" w:type="dxa"/>
            <w:shd w:val="clear" w:color="auto" w:fill="FFFFFF" w:themeFill="background1"/>
          </w:tcPr>
          <w:p w14:paraId="75A7FDD2"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1418" w:type="dxa"/>
            <w:shd w:val="clear" w:color="auto" w:fill="FFFFFF" w:themeFill="background1"/>
          </w:tcPr>
          <w:p w14:paraId="75A7FDD3"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276" w:type="dxa"/>
            <w:shd w:val="clear" w:color="auto" w:fill="FFFFFF" w:themeFill="background1"/>
          </w:tcPr>
          <w:p w14:paraId="75A7FDD4"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417" w:type="dxa"/>
            <w:shd w:val="clear" w:color="auto" w:fill="FFFFFF" w:themeFill="background1"/>
          </w:tcPr>
          <w:p w14:paraId="75A7FDD5"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843" w:type="dxa"/>
            <w:shd w:val="clear" w:color="auto" w:fill="FFFFFF" w:themeFill="background1"/>
          </w:tcPr>
          <w:p w14:paraId="75A7FDD6"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YES</w:t>
            </w:r>
          </w:p>
        </w:tc>
        <w:tc>
          <w:tcPr>
            <w:tcW w:w="1559" w:type="dxa"/>
            <w:shd w:val="clear" w:color="auto" w:fill="FFFFFF" w:themeFill="background1"/>
          </w:tcPr>
          <w:p w14:paraId="75A7FDD7" w14:textId="77777777" w:rsidR="007B2475" w:rsidRPr="001A67C3" w:rsidRDefault="007B2475" w:rsidP="00652BFD">
            <w:pPr>
              <w:overflowPunct w:val="0"/>
              <w:autoSpaceDE w:val="0"/>
              <w:autoSpaceDN w:val="0"/>
              <w:adjustRightInd w:val="0"/>
              <w:textAlignment w:val="baseline"/>
              <w:rPr>
                <w:rFonts w:ascii="Arial" w:eastAsia="Times New Roman" w:hAnsi="Arial" w:cs="Arial"/>
                <w:sz w:val="16"/>
                <w:szCs w:val="16"/>
              </w:rPr>
            </w:pPr>
            <w:r>
              <w:rPr>
                <w:rFonts w:ascii="Arial" w:hAnsi="Arial"/>
                <w:sz w:val="16"/>
              </w:rPr>
              <w:t>NO</w:t>
            </w:r>
          </w:p>
        </w:tc>
        <w:tc>
          <w:tcPr>
            <w:tcW w:w="3111" w:type="dxa"/>
            <w:shd w:val="clear" w:color="auto" w:fill="FFFFFF" w:themeFill="background1"/>
          </w:tcPr>
          <w:p w14:paraId="75A7FDD8" w14:textId="281D88F5" w:rsidR="007B2475" w:rsidRPr="001A67C3" w:rsidRDefault="007B2475" w:rsidP="00641693">
            <w:pPr>
              <w:overflowPunct w:val="0"/>
              <w:autoSpaceDE w:val="0"/>
              <w:autoSpaceDN w:val="0"/>
              <w:adjustRightInd w:val="0"/>
              <w:textAlignment w:val="baseline"/>
              <w:rPr>
                <w:rFonts w:ascii="Arial" w:eastAsia="Times New Roman" w:hAnsi="Arial" w:cs="Arial"/>
                <w:sz w:val="16"/>
                <w:szCs w:val="16"/>
              </w:rPr>
            </w:pPr>
            <w:r>
              <w:rPr>
                <w:rFonts w:ascii="Arial" w:hAnsi="Arial"/>
                <w:sz w:val="16"/>
              </w:rPr>
              <w:t>The intermediary mentioned in article L. 550-1, paragraph I, subparagraph 1 and paragraph II of the Monetary and Financial Code that takes the initiative in the transaction</w:t>
            </w:r>
          </w:p>
        </w:tc>
      </w:tr>
    </w:tbl>
    <w:p w14:paraId="75A7FDE3" w14:textId="77777777" w:rsidR="00652BFD" w:rsidRPr="001A67C3" w:rsidRDefault="00652BFD" w:rsidP="007A2DB1">
      <w:pPr>
        <w:overflowPunct w:val="0"/>
        <w:autoSpaceDE w:val="0"/>
        <w:autoSpaceDN w:val="0"/>
        <w:adjustRightInd w:val="0"/>
        <w:spacing w:after="0" w:line="240" w:lineRule="auto"/>
        <w:textAlignment w:val="baseline"/>
        <w:rPr>
          <w:rFonts w:ascii="Arial" w:hAnsi="Arial" w:cs="Arial"/>
          <w:sz w:val="16"/>
          <w:szCs w:val="16"/>
        </w:rPr>
      </w:pPr>
    </w:p>
    <w:sectPr w:rsidR="00652BFD" w:rsidRPr="001A67C3" w:rsidSect="00641A36">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6E30" w14:textId="77777777" w:rsidR="008D18BD" w:rsidRDefault="008D18BD" w:rsidP="00BE54C9">
      <w:pPr>
        <w:spacing w:after="0" w:line="240" w:lineRule="auto"/>
      </w:pPr>
      <w:r>
        <w:separator/>
      </w:r>
    </w:p>
  </w:endnote>
  <w:endnote w:type="continuationSeparator" w:id="0">
    <w:p w14:paraId="579F4BCC" w14:textId="77777777" w:rsidR="008D18BD" w:rsidRDefault="008D18BD" w:rsidP="00BE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1F98" w14:textId="77777777" w:rsidR="002F2AD9" w:rsidRDefault="002F2A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332871"/>
      <w:docPartObj>
        <w:docPartGallery w:val="Page Numbers (Bottom of Page)"/>
        <w:docPartUnique/>
      </w:docPartObj>
    </w:sdtPr>
    <w:sdtContent>
      <w:p w14:paraId="113408A0" w14:textId="0C4B6D4A" w:rsidR="002F2AD9" w:rsidRDefault="002F2AD9" w:rsidP="002F2AD9">
        <w:pPr>
          <w:pStyle w:val="Pieddepage"/>
          <w:tabs>
            <w:tab w:val="clear" w:pos="4536"/>
            <w:tab w:val="clear" w:pos="9072"/>
            <w:tab w:val="left" w:pos="13608"/>
          </w:tabs>
        </w:pPr>
        <w:r w:rsidRPr="0083237A">
          <w:rPr>
            <w:i/>
            <w:sz w:val="16"/>
            <w:szCs w:val="16"/>
          </w:rPr>
          <w:t>This translation is for information purposes only</w:t>
        </w:r>
        <w:r>
          <w:rPr>
            <w:i/>
            <w:sz w:val="16"/>
            <w:szCs w:val="16"/>
          </w:rPr>
          <w:tab/>
        </w:r>
        <w:r>
          <w:t xml:space="preserve"> </w:t>
        </w:r>
        <w:r>
          <w:fldChar w:fldCharType="begin"/>
        </w:r>
        <w:r>
          <w:instrText>PAGE   \* MERGEFORMAT</w:instrText>
        </w:r>
        <w:r>
          <w:fldChar w:fldCharType="separate"/>
        </w:r>
        <w:r w:rsidRPr="002F2AD9">
          <w:rPr>
            <w:noProof/>
            <w:lang w:val="en-US"/>
          </w:rPr>
          <w:t>1</w:t>
        </w:r>
        <w:r>
          <w:fldChar w:fldCharType="end"/>
        </w:r>
      </w:p>
      <w:bookmarkStart w:id="0" w:name="_GoBack" w:displacedByCustomXml="next"/>
      <w:bookmarkEnd w:id="0" w:displacedByCustomXml="next"/>
    </w:sdtContent>
  </w:sdt>
  <w:p w14:paraId="690C0027" w14:textId="77777777" w:rsidR="002D4791" w:rsidRDefault="002D479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B3EA0" w14:textId="77777777" w:rsidR="002F2AD9" w:rsidRDefault="002F2A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AB6AD" w14:textId="77777777" w:rsidR="008D18BD" w:rsidRDefault="008D18BD" w:rsidP="00BE54C9">
      <w:pPr>
        <w:spacing w:after="0" w:line="240" w:lineRule="auto"/>
      </w:pPr>
      <w:r>
        <w:separator/>
      </w:r>
    </w:p>
  </w:footnote>
  <w:footnote w:type="continuationSeparator" w:id="0">
    <w:p w14:paraId="62F61E7F" w14:textId="77777777" w:rsidR="008D18BD" w:rsidRDefault="008D18BD" w:rsidP="00BE54C9">
      <w:pPr>
        <w:spacing w:after="0" w:line="240" w:lineRule="auto"/>
      </w:pPr>
      <w:r>
        <w:continuationSeparator/>
      </w:r>
    </w:p>
  </w:footnote>
  <w:footnote w:id="1">
    <w:p w14:paraId="75A7FDF1" w14:textId="77777777" w:rsidR="002D4791" w:rsidRPr="00652BFD" w:rsidRDefault="002D4791" w:rsidP="00BE54C9">
      <w:pPr>
        <w:pStyle w:val="Notedebasdepage"/>
        <w:rPr>
          <w:sz w:val="16"/>
          <w:szCs w:val="16"/>
        </w:rPr>
      </w:pPr>
      <w:r>
        <w:rPr>
          <w:rStyle w:val="Appelnotedebasdep"/>
          <w:sz w:val="16"/>
        </w:rPr>
        <w:footnoteRef/>
      </w:r>
      <w:r>
        <w:rPr>
          <w:sz w:val="16"/>
        </w:rPr>
        <w:t xml:space="preserve"> As the person with a duty to send information to the AMF, the intermediary responsible for filing with the AMF shall provide all the relevant information about itself but also, where other intermediaries are involved in the transaction and are also bound by one of the obligations mentioned, about these other intermediaries.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2D1D" w14:textId="77777777" w:rsidR="002F2AD9" w:rsidRDefault="002F2A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FDE9" w14:textId="7021C890" w:rsidR="002D4791" w:rsidRPr="00A60B45" w:rsidRDefault="00DD57FA">
    <w:pPr>
      <w:pStyle w:val="En-tte"/>
      <w:rPr>
        <w:rFonts w:ascii="Arial" w:hAnsi="Arial" w:cs="Arial"/>
        <w:sz w:val="16"/>
        <w:szCs w:val="16"/>
      </w:rPr>
    </w:pPr>
    <w:r>
      <w:rPr>
        <w:rFonts w:ascii="Arial" w:hAnsi="Arial"/>
        <w:sz w:val="16"/>
      </w:rPr>
      <w:t>This document is Annex 3 to AMF instruction DOC-2017-06 – Procedure for preparing and registering an information document that must be filed with the AMF by intermediaries in miscellaneous assets. – Summary of obligations incumbent upon each of the intermediaries in miscellaneous assets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EC6B" w14:textId="77777777" w:rsidR="002F2AD9" w:rsidRDefault="002F2A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ED9"/>
    <w:multiLevelType w:val="hybridMultilevel"/>
    <w:tmpl w:val="CBE49074"/>
    <w:lvl w:ilvl="0" w:tplc="17E04D16">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711A15"/>
    <w:multiLevelType w:val="hybridMultilevel"/>
    <w:tmpl w:val="82B60F42"/>
    <w:lvl w:ilvl="0" w:tplc="626E9846">
      <w:start w:val="2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FB7EEC"/>
    <w:multiLevelType w:val="hybridMultilevel"/>
    <w:tmpl w:val="F1922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6C371A"/>
    <w:multiLevelType w:val="hybridMultilevel"/>
    <w:tmpl w:val="66ECE680"/>
    <w:lvl w:ilvl="0" w:tplc="CF7449C4">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7577FC"/>
    <w:multiLevelType w:val="hybridMultilevel"/>
    <w:tmpl w:val="B3E278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D"/>
    <w:rsid w:val="0013707D"/>
    <w:rsid w:val="00177ABE"/>
    <w:rsid w:val="00193D54"/>
    <w:rsid w:val="001A67C3"/>
    <w:rsid w:val="001E3564"/>
    <w:rsid w:val="001E4767"/>
    <w:rsid w:val="001E6DCB"/>
    <w:rsid w:val="002447F0"/>
    <w:rsid w:val="0025699B"/>
    <w:rsid w:val="002C6E89"/>
    <w:rsid w:val="002D4791"/>
    <w:rsid w:val="002F2AD9"/>
    <w:rsid w:val="0030374E"/>
    <w:rsid w:val="003131BA"/>
    <w:rsid w:val="003800ED"/>
    <w:rsid w:val="00396DBF"/>
    <w:rsid w:val="003B4624"/>
    <w:rsid w:val="00432C63"/>
    <w:rsid w:val="004756FC"/>
    <w:rsid w:val="0049110D"/>
    <w:rsid w:val="005142F7"/>
    <w:rsid w:val="005755A1"/>
    <w:rsid w:val="005D2E4E"/>
    <w:rsid w:val="005E7291"/>
    <w:rsid w:val="00641693"/>
    <w:rsid w:val="00641A36"/>
    <w:rsid w:val="0065232C"/>
    <w:rsid w:val="00652BFD"/>
    <w:rsid w:val="00654E0E"/>
    <w:rsid w:val="00793F95"/>
    <w:rsid w:val="007A2DB1"/>
    <w:rsid w:val="007B2475"/>
    <w:rsid w:val="007B7F28"/>
    <w:rsid w:val="008D18BD"/>
    <w:rsid w:val="008E78C8"/>
    <w:rsid w:val="00A60B45"/>
    <w:rsid w:val="00A72C21"/>
    <w:rsid w:val="00BE54C9"/>
    <w:rsid w:val="00C0729E"/>
    <w:rsid w:val="00C07FAA"/>
    <w:rsid w:val="00C10170"/>
    <w:rsid w:val="00C91DDE"/>
    <w:rsid w:val="00C93A7E"/>
    <w:rsid w:val="00C960EC"/>
    <w:rsid w:val="00D713A5"/>
    <w:rsid w:val="00DA78E9"/>
    <w:rsid w:val="00DC7922"/>
    <w:rsid w:val="00DD4A2F"/>
    <w:rsid w:val="00DD57FA"/>
    <w:rsid w:val="00E94B03"/>
    <w:rsid w:val="00EA7E13"/>
    <w:rsid w:val="00F00D5A"/>
    <w:rsid w:val="00F66F42"/>
    <w:rsid w:val="00FE7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54C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E54C9"/>
    <w:pPr>
      <w:spacing w:after="0" w:line="240" w:lineRule="auto"/>
      <w:jc w:val="both"/>
    </w:pPr>
    <w:rPr>
      <w:rFonts w:ascii="Arial" w:eastAsia="Times" w:hAnsi="Arial" w:cs="Times New Roman"/>
      <w:sz w:val="20"/>
      <w:szCs w:val="20"/>
    </w:rPr>
  </w:style>
  <w:style w:type="character" w:customStyle="1" w:styleId="NotedebasdepageCar">
    <w:name w:val="Note de bas de page Car"/>
    <w:basedOn w:val="Policepardfaut"/>
    <w:link w:val="Notedebasdepage"/>
    <w:uiPriority w:val="99"/>
    <w:semiHidden/>
    <w:rsid w:val="00BE54C9"/>
    <w:rPr>
      <w:rFonts w:ascii="Arial" w:eastAsia="Times" w:hAnsi="Arial" w:cs="Times New Roman"/>
      <w:sz w:val="20"/>
      <w:szCs w:val="20"/>
      <w:lang w:eastAsia="en-GB"/>
    </w:rPr>
  </w:style>
  <w:style w:type="character" w:styleId="Appelnotedebasdep">
    <w:name w:val="footnote reference"/>
    <w:basedOn w:val="Policepardfaut"/>
    <w:uiPriority w:val="99"/>
    <w:semiHidden/>
    <w:unhideWhenUsed/>
    <w:rsid w:val="00BE54C9"/>
    <w:rPr>
      <w:vertAlign w:val="superscript"/>
    </w:rPr>
  </w:style>
  <w:style w:type="paragraph" w:styleId="En-tte">
    <w:name w:val="header"/>
    <w:basedOn w:val="Normal"/>
    <w:link w:val="En-tteCar"/>
    <w:uiPriority w:val="99"/>
    <w:unhideWhenUsed/>
    <w:rsid w:val="00652BFD"/>
    <w:pPr>
      <w:tabs>
        <w:tab w:val="center" w:pos="4536"/>
        <w:tab w:val="right" w:pos="9072"/>
      </w:tabs>
      <w:spacing w:after="0" w:line="240" w:lineRule="auto"/>
    </w:pPr>
  </w:style>
  <w:style w:type="character" w:customStyle="1" w:styleId="En-tteCar">
    <w:name w:val="En-tête Car"/>
    <w:basedOn w:val="Policepardfaut"/>
    <w:link w:val="En-tte"/>
    <w:uiPriority w:val="99"/>
    <w:rsid w:val="00652BFD"/>
  </w:style>
  <w:style w:type="paragraph" w:styleId="Pieddepage">
    <w:name w:val="footer"/>
    <w:basedOn w:val="Normal"/>
    <w:link w:val="PieddepageCar"/>
    <w:uiPriority w:val="99"/>
    <w:unhideWhenUsed/>
    <w:rsid w:val="00652B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BFD"/>
  </w:style>
  <w:style w:type="paragraph" w:styleId="Paragraphedeliste">
    <w:name w:val="List Paragraph"/>
    <w:basedOn w:val="Normal"/>
    <w:uiPriority w:val="34"/>
    <w:qFormat/>
    <w:rsid w:val="00652BFD"/>
    <w:pPr>
      <w:ind w:left="720"/>
      <w:contextualSpacing/>
    </w:pPr>
  </w:style>
  <w:style w:type="paragraph" w:styleId="Textedebulles">
    <w:name w:val="Balloon Text"/>
    <w:basedOn w:val="Normal"/>
    <w:link w:val="TextedebullesCar"/>
    <w:uiPriority w:val="99"/>
    <w:semiHidden/>
    <w:unhideWhenUsed/>
    <w:rsid w:val="00652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32C"/>
    <w:rPr>
      <w:rFonts w:ascii="Tahoma" w:hAnsi="Tahoma" w:cs="Tahoma"/>
      <w:sz w:val="16"/>
      <w:szCs w:val="16"/>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54C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E54C9"/>
    <w:pPr>
      <w:spacing w:after="0" w:line="240" w:lineRule="auto"/>
      <w:jc w:val="both"/>
    </w:pPr>
    <w:rPr>
      <w:rFonts w:ascii="Arial" w:eastAsia="Times" w:hAnsi="Arial" w:cs="Times New Roman"/>
      <w:sz w:val="20"/>
      <w:szCs w:val="20"/>
    </w:rPr>
  </w:style>
  <w:style w:type="character" w:customStyle="1" w:styleId="NotedebasdepageCar">
    <w:name w:val="Note de bas de page Car"/>
    <w:basedOn w:val="Policepardfaut"/>
    <w:link w:val="Notedebasdepage"/>
    <w:uiPriority w:val="99"/>
    <w:semiHidden/>
    <w:rsid w:val="00BE54C9"/>
    <w:rPr>
      <w:rFonts w:ascii="Arial" w:eastAsia="Times" w:hAnsi="Arial" w:cs="Times New Roman"/>
      <w:sz w:val="20"/>
      <w:szCs w:val="20"/>
      <w:lang w:eastAsia="en-GB"/>
    </w:rPr>
  </w:style>
  <w:style w:type="character" w:styleId="Appelnotedebasdep">
    <w:name w:val="footnote reference"/>
    <w:basedOn w:val="Policepardfaut"/>
    <w:uiPriority w:val="99"/>
    <w:semiHidden/>
    <w:unhideWhenUsed/>
    <w:rsid w:val="00BE54C9"/>
    <w:rPr>
      <w:vertAlign w:val="superscript"/>
    </w:rPr>
  </w:style>
  <w:style w:type="paragraph" w:styleId="En-tte">
    <w:name w:val="header"/>
    <w:basedOn w:val="Normal"/>
    <w:link w:val="En-tteCar"/>
    <w:uiPriority w:val="99"/>
    <w:unhideWhenUsed/>
    <w:rsid w:val="00652BFD"/>
    <w:pPr>
      <w:tabs>
        <w:tab w:val="center" w:pos="4536"/>
        <w:tab w:val="right" w:pos="9072"/>
      </w:tabs>
      <w:spacing w:after="0" w:line="240" w:lineRule="auto"/>
    </w:pPr>
  </w:style>
  <w:style w:type="character" w:customStyle="1" w:styleId="En-tteCar">
    <w:name w:val="En-tête Car"/>
    <w:basedOn w:val="Policepardfaut"/>
    <w:link w:val="En-tte"/>
    <w:uiPriority w:val="99"/>
    <w:rsid w:val="00652BFD"/>
  </w:style>
  <w:style w:type="paragraph" w:styleId="Pieddepage">
    <w:name w:val="footer"/>
    <w:basedOn w:val="Normal"/>
    <w:link w:val="PieddepageCar"/>
    <w:uiPriority w:val="99"/>
    <w:unhideWhenUsed/>
    <w:rsid w:val="00652B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BFD"/>
  </w:style>
  <w:style w:type="paragraph" w:styleId="Paragraphedeliste">
    <w:name w:val="List Paragraph"/>
    <w:basedOn w:val="Normal"/>
    <w:uiPriority w:val="34"/>
    <w:qFormat/>
    <w:rsid w:val="00652BFD"/>
    <w:pPr>
      <w:ind w:left="720"/>
      <w:contextualSpacing/>
    </w:pPr>
  </w:style>
  <w:style w:type="paragraph" w:styleId="Textedebulles">
    <w:name w:val="Balloon Text"/>
    <w:basedOn w:val="Normal"/>
    <w:link w:val="TextedebullesCar"/>
    <w:uiPriority w:val="99"/>
    <w:semiHidden/>
    <w:unhideWhenUsed/>
    <w:rsid w:val="006523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32C"/>
    <w:rPr>
      <w:rFonts w:ascii="Tahoma" w:hAnsi="Tahoma" w:cs="Tahoma"/>
      <w:sz w:val="16"/>
      <w:szCs w:val="16"/>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JPrenom xmlns="http://schemas.amf.org/daj" xsi:nil="true"/>
    <DAJDocDirection xmlns="http://schemas.amf.org/daj" xsi:nil="true"/>
    <DAJDenomination xmlns="http://schemas.amf.org/daj" xsi:nil="true"/>
    <DAJDocLangue xmlns="http://schemas.amf.org/daj">FR</DAJDocLangue>
    <DAJCP xmlns="http://schemas.amf.org/daj" xsi:nil="true"/>
    <DAJNom xmlns="http://schemas.amf.org/daj" xsi:nil="true"/>
    <DAJDocNumDossier xmlns="http://schemas.amf.org/daj">R160007</DAJDocNumDossier>
    <DAJVille xmlns="http://schemas.amf.org/daj" xsi:nil="true"/>
    <DAJDocAuteur xmlns="http://schemas.amf.org/daj">DGA</DAJDocAuteur>
    <DAJDocConfidentialite xmlns="http://schemas.amf.org/daj" xsi:nil="true"/>
    <DAJDocDate xmlns="http://schemas.amf.org/daj">2017-03-16T23:00:00+00:00</DAJDocDate>
    <DAJAdresse xmlns="http://schemas.amf.org/daj" xsi:nil="true"/>
    <DAJPays xmlns="http://schemas.amf.org/daj" xsi:nil="true"/>
    <DAJDocCommentaires xmlns="108651a7-7c1e-44e5-8637-7e25352c12ae" xsi:nil="true"/>
    <DAJDocPositionPrincipe xmlns="http://schemas.amf.org/daj">Non définie</DAJDocPositionPrincipe>
    <DAJDocStatut xmlns="http://schemas.amf.org/daj" xsi:nil="true"/>
    <DAJDocType xmlns="http://schemas.amf.org/daj">6</DAJDocType>
    <DAJDocTheme xmlns="http://schemas.amf.org/daj" xsi:nil="true"/>
    <DAJDocNumero xmlns="http://schemas.amf.org/daj">00009092</DAJDocNumero>
    <DAJCivilite xmlns="108651a7-7c1e-44e5-8637-7e25352c12ae" xsi:nil="true"/>
    <DAJEstModele xmlns="http://schemas.amf.org/daj">false</DAJEstModele>
    <DAJNomCompletIntervenantLookup xmlns="http://schemas.amf.org/daj"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ele DAJ" ma:contentTypeID="0x01010046D2C1E2F3584063AA82C7EBA14DB512009F5EA2C4168BFF4C800F7325DFF7DFB8" ma:contentTypeVersion="17" ma:contentTypeDescription="Modèle de documents DAJ" ma:contentTypeScope="" ma:versionID="a5f6e05d8543ae6494c1b2ea10269dc5">
  <xsd:schema xmlns:xsd="http://www.w3.org/2001/XMLSchema" xmlns:xs="http://www.w3.org/2001/XMLSchema" xmlns:p="http://schemas.microsoft.com/office/2006/metadata/properties" xmlns:ns2="http://schemas.amf.org/daj" xmlns:ns3="108651a7-7c1e-44e5-8637-7e25352c12ae" targetNamespace="http://schemas.microsoft.com/office/2006/metadata/properties" ma:root="true" ma:fieldsID="155fbf86f112e0810aca0ace6237ff9c" ns2:_="" ns3:_="">
    <xsd:import namespace="http://schemas.amf.org/daj"/>
    <xsd:import namespace="108651a7-7c1e-44e5-8637-7e25352c12ae"/>
    <xsd:element name="properties">
      <xsd:complexType>
        <xsd:sequence>
          <xsd:element name="documentManagement">
            <xsd:complexType>
              <xsd:all>
                <xsd:element ref="ns2:DAJDocDate"/>
                <xsd:element ref="ns2:DAJDocType"/>
                <xsd:element ref="ns2:DAJDocAuteur"/>
                <xsd:element ref="ns2:DAJDocNumero" minOccurs="0"/>
                <xsd:element ref="ns2:DAJDocNumDossier" minOccurs="0"/>
                <xsd:element ref="ns2:DAJDocConfidentialite" minOccurs="0"/>
                <xsd:element ref="ns2:DAJDocDirection" minOccurs="0"/>
                <xsd:element ref="ns2:DAJDocPositionPrincipe"/>
                <xsd:element ref="ns2:DAJDocTheme" minOccurs="0"/>
                <xsd:element ref="ns2:DAJDocStatut" minOccurs="0"/>
                <xsd:element ref="ns2:DAJDocLangue" minOccurs="0"/>
                <xsd:element ref="ns2:DAJDenomination" minOccurs="0"/>
                <xsd:element ref="ns3:DAJCivilite" minOccurs="0"/>
                <xsd:element ref="ns2:DAJNom" minOccurs="0"/>
                <xsd:element ref="ns2:DAJPrenom" minOccurs="0"/>
                <xsd:element ref="ns2:DAJAdresse" minOccurs="0"/>
                <xsd:element ref="ns2:DAJCP" minOccurs="0"/>
                <xsd:element ref="ns2:DAJVille" minOccurs="0"/>
                <xsd:element ref="ns2:DAJPays" minOccurs="0"/>
                <xsd:element ref="ns2:DAJEstModele" minOccurs="0"/>
                <xsd:element ref="ns3:DAJDocCommentaires" minOccurs="0"/>
                <xsd:element ref="ns2:DAJNomCompletIntervenant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amf.org/daj" elementFormDefault="qualified">
    <xsd:import namespace="http://schemas.microsoft.com/office/2006/documentManagement/types"/>
    <xsd:import namespace="http://schemas.microsoft.com/office/infopath/2007/PartnerControls"/>
    <xsd:element name="DAJDocDate" ma:index="1" ma:displayName="Date du document" ma:description="" ma:format="DateOnly" ma:internalName="DAJDocDate" ma:readOnly="false">
      <xsd:simpleType>
        <xsd:restriction base="dms:DateTime"/>
      </xsd:simpleType>
    </xsd:element>
    <xsd:element name="DAJDocType" ma:index="2" ma:displayName="Type du document" ma:list="{280ddfce-a263-45c7-83b0-d30397e5d1b2}" ma:internalName="DAJDocType" ma:readOnly="false" ma:showField="Title" ma:web="{108651a7-7c1e-44e5-8637-7e25352c12ae}">
      <xsd:simpleType>
        <xsd:restriction base="dms:Lookup"/>
      </xsd:simpleType>
    </xsd:element>
    <xsd:element name="DAJDocAuteur" ma:index="3" ma:displayName="Auteur(s)" ma:description="" ma:internalName="DAJDocAuteur" ma:readOnly="false" ma:showField="Title">
      <xsd:simpleType>
        <xsd:restriction base="dms:Text"/>
      </xsd:simpleType>
    </xsd:element>
    <xsd:element name="DAJDocNumero" ma:index="5" nillable="true" ma:displayName="Numéro document" ma:internalName="DAJDocNumero">
      <xsd:simpleType>
        <xsd:restriction base="dms:Text"/>
      </xsd:simpleType>
    </xsd:element>
    <xsd:element name="DAJDocNumDossier" ma:index="6" nillable="true" ma:displayName="Numéro de dossier" ma:internalName="DAJDocNumDossier" ma:showField="TRUE">
      <xsd:simpleType>
        <xsd:restriction base="dms:Text"/>
      </xsd:simpleType>
    </xsd:element>
    <xsd:element name="DAJDocConfidentialite" ma:index="7" nillable="true" ma:displayName="Confidentialité" ma:list="{f5ee6fda-8148-4899-b75b-dde4f4afc6d3}" ma:internalName="DAJDocConfidentialite" ma:showField="Title" ma:web="{108651a7-7c1e-44e5-8637-7e25352c12ae}">
      <xsd:simpleType>
        <xsd:restriction base="dms:Lookup"/>
      </xsd:simpleType>
    </xsd:element>
    <xsd:element name="DAJDocDirection" ma:index="8" nillable="true" ma:displayName="Direction(s) des auteurs" ma:description="" ma:internalName="DAJDocDirection">
      <xsd:simpleType>
        <xsd:restriction base="dms:Text"/>
      </xsd:simpleType>
    </xsd:element>
    <xsd:element name="DAJDocPositionPrincipe" ma:index="9" ma:displayName="Position de principe" ma:default="Non définie" ma:format="Dropdown" ma:internalName="DAJDocPositionPrincipe" ma:readOnly="false">
      <xsd:simpleType>
        <xsd:restriction base="dms:Choice">
          <xsd:enumeration value="Non définie"/>
          <xsd:enumeration value="Position"/>
          <xsd:enumeration value="Position validée"/>
        </xsd:restriction>
      </xsd:simpleType>
    </xsd:element>
    <xsd:element name="DAJDocTheme" ma:index="10" nillable="true" ma:displayName="Thème du document" ma:hidden="true" ma:internalName="DAJDocTheme" ma:readOnly="false">
      <xsd:simpleType>
        <xsd:restriction base="dms:Text"/>
      </xsd:simpleType>
    </xsd:element>
    <xsd:element name="DAJDocStatut" ma:index="11" nillable="true" ma:displayName="Statut" ma:list="{70fe24b3-703c-451a-82aa-6f172c97ed8a}" ma:internalName="DAJDocStatut" ma:showField="Title" ma:web="{108651a7-7c1e-44e5-8637-7e25352c12ae}">
      <xsd:simpleType>
        <xsd:restriction base="dms:Lookup"/>
      </xsd:simpleType>
    </xsd:element>
    <xsd:element name="DAJDocLangue" ma:index="12" nillable="true" ma:displayName="Langue" ma:default="FR" ma:internalName="DAJDocLangue">
      <xsd:simpleType>
        <xsd:restriction base="dms:Choice">
          <xsd:enumeration value="FR"/>
          <xsd:enumeration value="EN"/>
        </xsd:restriction>
      </xsd:simpleType>
    </xsd:element>
    <xsd:element name="DAJDenomination" ma:index="13" nillable="true" ma:displayName="Dénomination" ma:description="" ma:internalName="DAJDenomination">
      <xsd:simpleType>
        <xsd:restriction base="dms:Text"/>
      </xsd:simpleType>
    </xsd:element>
    <xsd:element name="DAJNom" ma:index="15" nillable="true" ma:displayName="Nom" ma:description="" ma:internalName="DAJNom">
      <xsd:simpleType>
        <xsd:restriction base="dms:Text"/>
      </xsd:simpleType>
    </xsd:element>
    <xsd:element name="DAJPrenom" ma:index="16" nillable="true" ma:displayName="Prénom" ma:description="" ma:internalName="DAJPrenom">
      <xsd:simpleType>
        <xsd:restriction base="dms:Text"/>
      </xsd:simpleType>
    </xsd:element>
    <xsd:element name="DAJAdresse" ma:index="17" nillable="true" ma:displayName="Adresse" ma:description="" ma:internalName="DAJAdresse">
      <xsd:simpleType>
        <xsd:restriction base="dms:Note">
          <xsd:maxLength value="255"/>
        </xsd:restriction>
      </xsd:simpleType>
    </xsd:element>
    <xsd:element name="DAJCP" ma:index="18" nillable="true" ma:displayName="CP" ma:description="" ma:internalName="DAJCP">
      <xsd:simpleType>
        <xsd:restriction base="dms:Text"/>
      </xsd:simpleType>
    </xsd:element>
    <xsd:element name="DAJVille" ma:index="19" nillable="true" ma:displayName="Ville" ma:description="" ma:internalName="DAJVille">
      <xsd:simpleType>
        <xsd:restriction base="dms:Text"/>
      </xsd:simpleType>
    </xsd:element>
    <xsd:element name="DAJPays" ma:index="20" nillable="true" ma:displayName="Pays" ma:description="" ma:internalName="DAJPays">
      <xsd:simpleType>
        <xsd:restriction base="dms:Text"/>
      </xsd:simpleType>
    </xsd:element>
    <xsd:element name="DAJEstModele" ma:index="21" nillable="true" ma:displayName="Modèle" ma:default="0" ma:description="" ma:hidden="true" ma:internalName="DAJEstModele">
      <xsd:simpleType>
        <xsd:restriction base="dms:Boolean"/>
      </xsd:simpleType>
    </xsd:element>
    <xsd:element name="DAJNomCompletIntervenantLookup" ma:index="29" nillable="true" ma:displayName="Correspondant externe document" ma:list="{638A971D-4B04-4A20-B75E-FB4FC932038A}" ma:internalName="DAJNomCompletIntervenantLookup" ma:showField="Nom_x0020_Comple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08651a7-7c1e-44e5-8637-7e25352c12ae" elementFormDefault="qualified">
    <xsd:import namespace="http://schemas.microsoft.com/office/2006/documentManagement/types"/>
    <xsd:import namespace="http://schemas.microsoft.com/office/infopath/2007/PartnerControls"/>
    <xsd:element name="DAJCivilite" ma:index="14" nillable="true" ma:displayName="Civilité" ma:format="Dropdown" ma:internalName="DAJCivilite">
      <xsd:simpleType>
        <xsd:restriction base="dms:Choice">
          <xsd:enumeration value="Maître"/>
          <xsd:enumeration value="Madame"/>
          <xsd:enumeration value="Monsieur"/>
        </xsd:restriction>
      </xsd:simpleType>
    </xsd:element>
    <xsd:element name="DAJDocCommentaires" ma:index="28" nillable="true" ma:displayName="Commentaire" ma:description="" ma:internalName="DAJDocCommentair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e de contenu"/>
        <xsd:element ref="dc:title" minOccurs="0" maxOccurs="1" ma:index="4" ma:displayName="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7EAB-CEA6-446A-BD9F-7CA6B7159E93}">
  <ds:schemaRefs>
    <ds:schemaRef ds:uri="http://schemas.microsoft.com/office/2006/metadata/properties"/>
    <ds:schemaRef ds:uri="http://schemas.microsoft.com/office/infopath/2007/PartnerControls"/>
    <ds:schemaRef ds:uri="http://schemas.amf.org/daj"/>
    <ds:schemaRef ds:uri="108651a7-7c1e-44e5-8637-7e25352c12ae"/>
  </ds:schemaRefs>
</ds:datastoreItem>
</file>

<file path=customXml/itemProps2.xml><?xml version="1.0" encoding="utf-8"?>
<ds:datastoreItem xmlns:ds="http://schemas.openxmlformats.org/officeDocument/2006/customXml" ds:itemID="{D010FD1F-9A4C-4C8E-8186-9727D61FDC24}">
  <ds:schemaRefs>
    <ds:schemaRef ds:uri="http://schemas.microsoft.com/sharepoint/v3/contenttype/forms"/>
  </ds:schemaRefs>
</ds:datastoreItem>
</file>

<file path=customXml/itemProps3.xml><?xml version="1.0" encoding="utf-8"?>
<ds:datastoreItem xmlns:ds="http://schemas.openxmlformats.org/officeDocument/2006/customXml" ds:itemID="{14785AA0-28F8-4181-8FB5-2554C1FE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amf.org/daj"/>
    <ds:schemaRef ds:uri="108651a7-7c1e-44e5-8637-7e25352c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47556-350D-4036-B380-1F1F7BF9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1059</Words>
  <Characters>5828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Coornaden</dc:creator>
  <cp:lastModifiedBy>GOUBY Nathalie</cp:lastModifiedBy>
  <cp:revision>24</cp:revision>
  <cp:lastPrinted>2017-04-05T16:00:00Z</cp:lastPrinted>
  <dcterms:created xsi:type="dcterms:W3CDTF">2017-03-22T11:08:00Z</dcterms:created>
  <dcterms:modified xsi:type="dcterms:W3CDTF">2017-06-29T09:45:00Z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0x01010046D2C1E2F3584063AA82C7EBA14DB512009F5EA2C4168BFF4C800F7325DFF7DFB8</vt:lpwstr>
  </property>
</Properties>
</file>